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93AA" w14:textId="77777777" w:rsidR="00331781" w:rsidRDefault="00331781" w:rsidP="00331781">
      <w:pPr>
        <w:pStyle w:val="TableTitle"/>
      </w:pPr>
      <w:r>
        <w:t>Human Rights Screening Checklist (Example)</w:t>
      </w:r>
    </w:p>
    <w:p w14:paraId="1416C610" w14:textId="359DAFDE" w:rsidR="00331781" w:rsidRDefault="00331781" w:rsidP="00331781">
      <w:r>
        <w:t>For each human right, the a</w:t>
      </w:r>
      <w:r w:rsidRPr="00E00B5A">
        <w:t xml:space="preserve">ssessor </w:t>
      </w:r>
      <w:r>
        <w:t xml:space="preserve">should </w:t>
      </w:r>
      <w:r w:rsidRPr="00E00B5A">
        <w:t xml:space="preserve">identify whether </w:t>
      </w:r>
      <w:r>
        <w:t>a potential impact has the p</w:t>
      </w:r>
      <w:r w:rsidRPr="00E00B5A">
        <w:t>otential to occur in the project</w:t>
      </w:r>
      <w:r w:rsidR="00AA7A26">
        <w:t>’s area of influence (</w:t>
      </w:r>
      <w:r w:rsidRPr="00E00B5A">
        <w:t>AOI</w:t>
      </w:r>
      <w:r w:rsidR="00AA7A26">
        <w:t>)</w:t>
      </w:r>
      <w:r w:rsidRPr="00E00B5A">
        <w:t>. At this stage (screening), the evaluation should be conservative; in other words, if a determination is unclear and further information is required, the assessor should answer “yes” for the purposes of screening.</w:t>
      </w:r>
      <w:r>
        <w:t xml:space="preserve"> For any human rights that are “screened in”, the assessor should also note the potential source</w:t>
      </w:r>
      <w:r w:rsidR="00AA7A26">
        <w:t xml:space="preserve">s of human rights violation(s) in relation to the proposed project or activity. </w:t>
      </w:r>
    </w:p>
    <w:p w14:paraId="48B91D78" w14:textId="77777777" w:rsidR="00331781" w:rsidRDefault="00331781" w:rsidP="00331781"/>
    <w:tbl>
      <w:tblPr>
        <w:tblStyle w:val="ERMTablestyle"/>
        <w:tblW w:w="5000" w:type="pct"/>
        <w:tblLook w:val="04A0" w:firstRow="1" w:lastRow="0" w:firstColumn="1" w:lastColumn="0" w:noHBand="0" w:noVBand="1"/>
      </w:tblPr>
      <w:tblGrid>
        <w:gridCol w:w="867"/>
        <w:gridCol w:w="3994"/>
        <w:gridCol w:w="7066"/>
        <w:gridCol w:w="1666"/>
        <w:gridCol w:w="7338"/>
      </w:tblGrid>
      <w:tr w:rsidR="00331781" w:rsidRPr="0020657E" w14:paraId="039CBF5C" w14:textId="77777777" w:rsidTr="00373C01">
        <w:trPr>
          <w:cnfStyle w:val="100000000000" w:firstRow="1" w:lastRow="0" w:firstColumn="0" w:lastColumn="0" w:oddVBand="0" w:evenVBand="0" w:oddHBand="0" w:evenHBand="0" w:firstRowFirstColumn="0" w:firstRowLastColumn="0" w:lastRowFirstColumn="0" w:lastRowLastColumn="0"/>
          <w:tblHeader/>
        </w:trPr>
        <w:tc>
          <w:tcPr>
            <w:tcW w:w="207" w:type="pct"/>
          </w:tcPr>
          <w:p w14:paraId="00AC4D47" w14:textId="77777777" w:rsidR="00331781" w:rsidRPr="0020657E" w:rsidRDefault="00331781" w:rsidP="00083338">
            <w:pPr>
              <w:pStyle w:val="Tableheadingleft"/>
            </w:pPr>
            <w:r w:rsidRPr="0020657E">
              <w:t>No.</w:t>
            </w:r>
          </w:p>
        </w:tc>
        <w:tc>
          <w:tcPr>
            <w:tcW w:w="954" w:type="pct"/>
          </w:tcPr>
          <w:p w14:paraId="6D1D579C" w14:textId="77777777" w:rsidR="00331781" w:rsidRPr="0020657E" w:rsidRDefault="00331781" w:rsidP="00083338">
            <w:pPr>
              <w:pStyle w:val="Tableheadingleft"/>
            </w:pPr>
            <w:r w:rsidRPr="0020657E">
              <w:t xml:space="preserve">Human Rights </w:t>
            </w:r>
          </w:p>
        </w:tc>
        <w:tc>
          <w:tcPr>
            <w:tcW w:w="1688" w:type="pct"/>
          </w:tcPr>
          <w:p w14:paraId="19B6EC11" w14:textId="77777777" w:rsidR="00331781" w:rsidRPr="0020657E" w:rsidRDefault="00331781" w:rsidP="00083338">
            <w:pPr>
              <w:pStyle w:val="Tableheadingleft"/>
            </w:pPr>
            <w:r>
              <w:t>Description</w:t>
            </w:r>
          </w:p>
        </w:tc>
        <w:tc>
          <w:tcPr>
            <w:tcW w:w="398" w:type="pct"/>
          </w:tcPr>
          <w:p w14:paraId="198B18E0" w14:textId="77777777" w:rsidR="00331781" w:rsidRPr="0020657E" w:rsidRDefault="00331781" w:rsidP="00083338">
            <w:pPr>
              <w:pStyle w:val="Tableheadingleft"/>
              <w:jc w:val="center"/>
            </w:pPr>
            <w:r w:rsidRPr="0020657E">
              <w:t>Screened In (y/n)</w:t>
            </w:r>
          </w:p>
        </w:tc>
        <w:tc>
          <w:tcPr>
            <w:tcW w:w="1753" w:type="pct"/>
          </w:tcPr>
          <w:p w14:paraId="084614E8" w14:textId="77777777" w:rsidR="00331781" w:rsidRPr="0020657E" w:rsidRDefault="00331781" w:rsidP="00331781">
            <w:pPr>
              <w:pStyle w:val="Tableheadingleft"/>
            </w:pPr>
            <w:r w:rsidRPr="0020657E">
              <w:t xml:space="preserve">Possible </w:t>
            </w:r>
            <w:r>
              <w:t xml:space="preserve">Human Rights Impacts </w:t>
            </w:r>
            <w:r w:rsidRPr="0020657E">
              <w:t>for Screened-in Rights</w:t>
            </w:r>
          </w:p>
        </w:tc>
      </w:tr>
      <w:tr w:rsidR="00331781" w:rsidRPr="0020657E" w14:paraId="165D059C" w14:textId="77777777" w:rsidTr="00373C01">
        <w:trPr>
          <w:trHeight w:val="918"/>
        </w:trPr>
        <w:tc>
          <w:tcPr>
            <w:tcW w:w="207" w:type="pct"/>
            <w:shd w:val="clear" w:color="auto" w:fill="FAF9F9" w:themeFill="background2" w:themeFillTint="33"/>
          </w:tcPr>
          <w:p w14:paraId="2F65CCF1" w14:textId="77777777" w:rsidR="00331781" w:rsidRPr="00E00B5A" w:rsidRDefault="00331781" w:rsidP="00083338">
            <w:pPr>
              <w:pStyle w:val="Tabletextleft"/>
              <w:rPr>
                <w:i/>
              </w:rPr>
            </w:pPr>
            <w:r w:rsidRPr="00E00B5A">
              <w:rPr>
                <w:i/>
              </w:rPr>
              <w:t>e.g.</w:t>
            </w:r>
          </w:p>
        </w:tc>
        <w:tc>
          <w:tcPr>
            <w:tcW w:w="954" w:type="pct"/>
            <w:shd w:val="clear" w:color="auto" w:fill="FAF9F9" w:themeFill="background2" w:themeFillTint="33"/>
          </w:tcPr>
          <w:p w14:paraId="6F740CF2" w14:textId="77777777" w:rsidR="00331781" w:rsidRPr="00E00B5A" w:rsidRDefault="00331781" w:rsidP="00083338">
            <w:pPr>
              <w:pStyle w:val="Tabletextleft"/>
              <w:rPr>
                <w:i/>
              </w:rPr>
            </w:pPr>
            <w:r w:rsidRPr="00E00B5A">
              <w:rPr>
                <w:i/>
              </w:rPr>
              <w:t xml:space="preserve">This column identifies the range of human rights that will need to be considered during the screening process, along with its reference standard(s). </w:t>
            </w:r>
          </w:p>
        </w:tc>
        <w:tc>
          <w:tcPr>
            <w:tcW w:w="1688" w:type="pct"/>
            <w:shd w:val="clear" w:color="auto" w:fill="FAF9F9" w:themeFill="background2" w:themeFillTint="33"/>
          </w:tcPr>
          <w:p w14:paraId="5221801F" w14:textId="77777777" w:rsidR="00331781" w:rsidRPr="00E00B5A" w:rsidRDefault="00331781" w:rsidP="00083338">
            <w:pPr>
              <w:pStyle w:val="Tabletextleft"/>
              <w:rPr>
                <w:i/>
              </w:rPr>
            </w:pPr>
            <w:r w:rsidRPr="00E00B5A">
              <w:rPr>
                <w:i/>
              </w:rPr>
              <w:t xml:space="preserve">This column provides context and examples to assist the screening exercise. These examples are </w:t>
            </w:r>
            <w:r w:rsidRPr="00E00B5A">
              <w:rPr>
                <w:i/>
                <w:u w:val="single"/>
              </w:rPr>
              <w:t>not</w:t>
            </w:r>
            <w:r w:rsidRPr="00E00B5A">
              <w:rPr>
                <w:i/>
              </w:rPr>
              <w:t xml:space="preserve"> exhaustive. </w:t>
            </w:r>
          </w:p>
        </w:tc>
        <w:tc>
          <w:tcPr>
            <w:tcW w:w="398" w:type="pct"/>
            <w:shd w:val="clear" w:color="auto" w:fill="FAF9F9" w:themeFill="background2" w:themeFillTint="33"/>
          </w:tcPr>
          <w:p w14:paraId="6A3D07CA" w14:textId="77777777" w:rsidR="00331781" w:rsidRPr="00E00B5A" w:rsidRDefault="00331781" w:rsidP="00083338">
            <w:pPr>
              <w:pStyle w:val="Tabletextleft"/>
              <w:jc w:val="center"/>
              <w:rPr>
                <w:i/>
              </w:rPr>
            </w:pPr>
            <w:r>
              <w:rPr>
                <w:i/>
              </w:rPr>
              <w:t>Assessor to screen in (yes) or out (no)</w:t>
            </w:r>
          </w:p>
        </w:tc>
        <w:tc>
          <w:tcPr>
            <w:tcW w:w="1753" w:type="pct"/>
            <w:shd w:val="clear" w:color="auto" w:fill="FAF9F9" w:themeFill="background2" w:themeFillTint="33"/>
          </w:tcPr>
          <w:p w14:paraId="4260CB1E" w14:textId="77777777" w:rsidR="00331781" w:rsidRPr="00E00B5A" w:rsidRDefault="00331781" w:rsidP="00331781">
            <w:pPr>
              <w:pStyle w:val="Tabletextleft"/>
              <w:rPr>
                <w:i/>
              </w:rPr>
            </w:pPr>
            <w:r>
              <w:rPr>
                <w:i/>
              </w:rPr>
              <w:t xml:space="preserve">For all “yes” responses: </w:t>
            </w:r>
            <w:r w:rsidRPr="00E00B5A">
              <w:rPr>
                <w:i/>
              </w:rPr>
              <w:t>Assessor to identify</w:t>
            </w:r>
            <w:r>
              <w:rPr>
                <w:i/>
              </w:rPr>
              <w:t>/describe</w:t>
            </w:r>
            <w:r w:rsidRPr="00E00B5A">
              <w:rPr>
                <w:i/>
              </w:rPr>
              <w:t xml:space="preserve"> possible </w:t>
            </w:r>
            <w:r>
              <w:rPr>
                <w:i/>
              </w:rPr>
              <w:t>human rights</w:t>
            </w:r>
            <w:r w:rsidRPr="00E00B5A">
              <w:rPr>
                <w:i/>
              </w:rPr>
              <w:t xml:space="preserve"> risks based on understanding of the local </w:t>
            </w:r>
            <w:r>
              <w:rPr>
                <w:i/>
              </w:rPr>
              <w:t>human rights context</w:t>
            </w:r>
            <w:r w:rsidRPr="00E00B5A">
              <w:rPr>
                <w:i/>
              </w:rPr>
              <w:t>.</w:t>
            </w:r>
          </w:p>
        </w:tc>
      </w:tr>
      <w:tr w:rsidR="00331781" w:rsidRPr="0020657E" w14:paraId="582D19E3" w14:textId="77777777" w:rsidTr="00373C01">
        <w:tc>
          <w:tcPr>
            <w:tcW w:w="207" w:type="pct"/>
          </w:tcPr>
          <w:p w14:paraId="09ACDEA2" w14:textId="77777777" w:rsidR="00331781" w:rsidRPr="0020657E" w:rsidRDefault="00331781" w:rsidP="00083338">
            <w:pPr>
              <w:pStyle w:val="Tabletextleft"/>
            </w:pPr>
            <w:r w:rsidRPr="0020657E">
              <w:t>1</w:t>
            </w:r>
          </w:p>
        </w:tc>
        <w:tc>
          <w:tcPr>
            <w:tcW w:w="954" w:type="pct"/>
          </w:tcPr>
          <w:p w14:paraId="47E59FBA" w14:textId="77777777" w:rsidR="00331781" w:rsidRPr="002D255A" w:rsidRDefault="00331781" w:rsidP="00083338">
            <w:pPr>
              <w:pStyle w:val="Tabletextleft"/>
              <w:rPr>
                <w:b/>
                <w:iCs/>
              </w:rPr>
            </w:pPr>
            <w:r w:rsidRPr="002D255A">
              <w:rPr>
                <w:b/>
                <w:iCs/>
              </w:rPr>
              <w:t xml:space="preserve">Right to life </w:t>
            </w:r>
          </w:p>
          <w:p w14:paraId="4F2D8939" w14:textId="77777777" w:rsidR="00331781" w:rsidRPr="00A119B6" w:rsidRDefault="00331781" w:rsidP="00083338">
            <w:pPr>
              <w:pStyle w:val="Tableheadingleft"/>
              <w:rPr>
                <w:b w:val="0"/>
                <w:iCs/>
              </w:rPr>
            </w:pPr>
            <w:r w:rsidRPr="00A119B6">
              <w:rPr>
                <w:b w:val="0"/>
                <w:iCs/>
              </w:rPr>
              <w:t>UDHR 3; ICCPR 6</w:t>
            </w:r>
          </w:p>
        </w:tc>
        <w:tc>
          <w:tcPr>
            <w:tcW w:w="1688" w:type="pct"/>
          </w:tcPr>
          <w:p w14:paraId="20F623B4" w14:textId="77777777" w:rsidR="00331781" w:rsidRDefault="00331781" w:rsidP="00874826">
            <w:pPr>
              <w:pStyle w:val="Tabletextleft"/>
            </w:pPr>
            <w:r>
              <w:t xml:space="preserve">Are there threats, circumstances and/or practices that could endanger lives, including violence based on gender, sexual identity or the presence of human trafficking in various forms? </w:t>
            </w:r>
          </w:p>
          <w:p w14:paraId="1DC47B9F" w14:textId="77777777" w:rsidR="00331781" w:rsidRPr="00E00B5A" w:rsidRDefault="00331781" w:rsidP="00083338">
            <w:pPr>
              <w:pStyle w:val="Tabletextleft"/>
              <w:rPr>
                <w:u w:val="single"/>
              </w:rPr>
            </w:pPr>
            <w:r w:rsidRPr="00E00B5A">
              <w:rPr>
                <w:u w:val="single"/>
              </w:rPr>
              <w:t xml:space="preserve">Sources of potential risks could include: </w:t>
            </w:r>
          </w:p>
          <w:p w14:paraId="15C74454" w14:textId="77777777" w:rsidR="00331781" w:rsidRPr="00C154A6" w:rsidRDefault="00331781" w:rsidP="00C154A6">
            <w:pPr>
              <w:pStyle w:val="Tablebullet"/>
            </w:pPr>
            <w:r w:rsidRPr="00C154A6">
              <w:t>Security and community / workforce interaction</w:t>
            </w:r>
          </w:p>
          <w:p w14:paraId="1894FB85" w14:textId="13861E32" w:rsidR="00331781" w:rsidRPr="00C154A6" w:rsidRDefault="00331781" w:rsidP="00C154A6">
            <w:pPr>
              <w:pStyle w:val="Tablebullet"/>
            </w:pPr>
            <w:r w:rsidRPr="00C154A6">
              <w:t>Occupational and</w:t>
            </w:r>
            <w:r w:rsidR="00C154A6">
              <w:t>/or</w:t>
            </w:r>
            <w:r w:rsidRPr="00C154A6">
              <w:t xml:space="preserve"> community health impacts associated with site activities</w:t>
            </w:r>
          </w:p>
          <w:p w14:paraId="2681EF37" w14:textId="77777777" w:rsidR="00331781" w:rsidRPr="0020657E" w:rsidRDefault="00331781" w:rsidP="00C154A6">
            <w:pPr>
              <w:pStyle w:val="Tablebullet"/>
            </w:pPr>
            <w:r w:rsidRPr="00C154A6">
              <w:t>Government security / police force approach to workforce / affected community protests</w:t>
            </w:r>
          </w:p>
        </w:tc>
        <w:tc>
          <w:tcPr>
            <w:tcW w:w="398" w:type="pct"/>
          </w:tcPr>
          <w:p w14:paraId="61C2D8E9" w14:textId="77777777" w:rsidR="00331781" w:rsidRPr="0020657E" w:rsidRDefault="00331781" w:rsidP="00083338">
            <w:pPr>
              <w:pStyle w:val="Tabletextleft"/>
              <w:jc w:val="center"/>
            </w:pPr>
          </w:p>
        </w:tc>
        <w:tc>
          <w:tcPr>
            <w:tcW w:w="1753" w:type="pct"/>
          </w:tcPr>
          <w:p w14:paraId="0B084AE0" w14:textId="77777777" w:rsidR="00331781" w:rsidRPr="0020657E" w:rsidRDefault="00331781" w:rsidP="00083338">
            <w:pPr>
              <w:pStyle w:val="Tabletextleft"/>
            </w:pPr>
          </w:p>
        </w:tc>
      </w:tr>
      <w:tr w:rsidR="00331781" w:rsidRPr="0020657E" w14:paraId="4CC60243" w14:textId="77777777" w:rsidTr="00373C01">
        <w:tc>
          <w:tcPr>
            <w:tcW w:w="207" w:type="pct"/>
          </w:tcPr>
          <w:p w14:paraId="5547013D" w14:textId="77777777" w:rsidR="00331781" w:rsidRPr="0020657E" w:rsidRDefault="00331781" w:rsidP="00083338">
            <w:pPr>
              <w:pStyle w:val="Tabletextleft"/>
            </w:pPr>
            <w:r w:rsidRPr="0020657E">
              <w:t>2</w:t>
            </w:r>
          </w:p>
        </w:tc>
        <w:tc>
          <w:tcPr>
            <w:tcW w:w="954" w:type="pct"/>
          </w:tcPr>
          <w:p w14:paraId="200770F5" w14:textId="77777777" w:rsidR="00331781" w:rsidRDefault="00331781" w:rsidP="00083338">
            <w:pPr>
              <w:pStyle w:val="Tabletextleft"/>
              <w:rPr>
                <w:iCs/>
              </w:rPr>
            </w:pPr>
            <w:r w:rsidRPr="002D255A">
              <w:rPr>
                <w:b/>
                <w:iCs/>
              </w:rPr>
              <w:t>Right to liberty and security (including freedom from arbitrary arrest, detention or exile)</w:t>
            </w:r>
            <w:r w:rsidRPr="0020657E">
              <w:rPr>
                <w:iCs/>
              </w:rPr>
              <w:t xml:space="preserve"> </w:t>
            </w:r>
          </w:p>
          <w:p w14:paraId="58851AC7" w14:textId="77777777" w:rsidR="00331781" w:rsidRPr="0020657E" w:rsidRDefault="00331781" w:rsidP="00083338">
            <w:pPr>
              <w:pStyle w:val="Tabletextleft"/>
              <w:rPr>
                <w:iCs/>
              </w:rPr>
            </w:pPr>
            <w:r w:rsidRPr="0020657E">
              <w:rPr>
                <w:iCs/>
              </w:rPr>
              <w:t>UDHR 3 and 9; ICCPR 9</w:t>
            </w:r>
          </w:p>
        </w:tc>
        <w:tc>
          <w:tcPr>
            <w:tcW w:w="1688" w:type="pct"/>
          </w:tcPr>
          <w:p w14:paraId="056131D8" w14:textId="77777777" w:rsidR="00331781" w:rsidRDefault="00331781" w:rsidP="00083338">
            <w:pPr>
              <w:pStyle w:val="Tabletextleft"/>
            </w:pPr>
            <w:r>
              <w:t xml:space="preserve">Could peoples’ safety and freedom be at risk, including arbitrary arrest or detainment or other infringements that are outside (or push the boundaries) of the law? </w:t>
            </w:r>
          </w:p>
          <w:p w14:paraId="7CC1CE02" w14:textId="77777777" w:rsidR="00331781" w:rsidRPr="00E00B5A" w:rsidRDefault="00331781" w:rsidP="00083338">
            <w:pPr>
              <w:pStyle w:val="Tabletextleft"/>
              <w:rPr>
                <w:u w:val="single"/>
              </w:rPr>
            </w:pPr>
            <w:r w:rsidRPr="00E00B5A">
              <w:rPr>
                <w:u w:val="single"/>
              </w:rPr>
              <w:t xml:space="preserve">Sources of potential risks could include: </w:t>
            </w:r>
          </w:p>
          <w:p w14:paraId="320918D1" w14:textId="77777777" w:rsidR="00331781" w:rsidRPr="00CB0489" w:rsidRDefault="00331781" w:rsidP="00C154A6">
            <w:pPr>
              <w:pStyle w:val="Tablebullet"/>
              <w:rPr>
                <w:rStyle w:val="A2"/>
                <w:bCs/>
                <w:lang w:val="en-US" w:eastAsia="en-US"/>
              </w:rPr>
            </w:pPr>
            <w:r w:rsidRPr="00CB0489">
              <w:rPr>
                <w:rStyle w:val="A2"/>
                <w:bCs/>
                <w:lang w:val="en-US"/>
              </w:rPr>
              <w:t>Security and community / workforce interaction</w:t>
            </w:r>
          </w:p>
          <w:p w14:paraId="2209C798" w14:textId="77777777" w:rsidR="00331781" w:rsidRPr="0020657E" w:rsidRDefault="00331781" w:rsidP="00C154A6">
            <w:pPr>
              <w:pStyle w:val="Tablebullet"/>
            </w:pPr>
            <w:r w:rsidRPr="00CB0489">
              <w:rPr>
                <w:rStyle w:val="A2"/>
                <w:bCs/>
                <w:lang w:val="en-US"/>
              </w:rPr>
              <w:t>Government security / police force approach to workforce / affected community protests</w:t>
            </w:r>
          </w:p>
        </w:tc>
        <w:tc>
          <w:tcPr>
            <w:tcW w:w="398" w:type="pct"/>
          </w:tcPr>
          <w:p w14:paraId="6C3AD880" w14:textId="77777777" w:rsidR="00331781" w:rsidRPr="0020657E" w:rsidRDefault="00331781" w:rsidP="00083338">
            <w:pPr>
              <w:pStyle w:val="Tabletextleft"/>
              <w:jc w:val="center"/>
            </w:pPr>
          </w:p>
        </w:tc>
        <w:tc>
          <w:tcPr>
            <w:tcW w:w="1753" w:type="pct"/>
          </w:tcPr>
          <w:p w14:paraId="28908EE0" w14:textId="77777777" w:rsidR="00331781" w:rsidRPr="0020657E" w:rsidRDefault="00331781" w:rsidP="00083338">
            <w:pPr>
              <w:pStyle w:val="Tabletextleft"/>
            </w:pPr>
          </w:p>
        </w:tc>
      </w:tr>
      <w:tr w:rsidR="00331781" w:rsidRPr="0020657E" w14:paraId="71F597FA" w14:textId="77777777" w:rsidTr="00373C01">
        <w:tc>
          <w:tcPr>
            <w:tcW w:w="207" w:type="pct"/>
          </w:tcPr>
          <w:p w14:paraId="6351AAD7" w14:textId="77777777" w:rsidR="00331781" w:rsidRPr="0020657E" w:rsidRDefault="00331781" w:rsidP="00083338">
            <w:pPr>
              <w:pStyle w:val="Tabletextleft"/>
            </w:pPr>
            <w:r w:rsidRPr="0020657E">
              <w:t>3</w:t>
            </w:r>
          </w:p>
        </w:tc>
        <w:tc>
          <w:tcPr>
            <w:tcW w:w="954" w:type="pct"/>
          </w:tcPr>
          <w:p w14:paraId="4F13E687" w14:textId="77777777" w:rsidR="00331781" w:rsidRPr="002D255A" w:rsidRDefault="00331781" w:rsidP="00083338">
            <w:pPr>
              <w:pStyle w:val="Tabletextleft"/>
              <w:rPr>
                <w:b/>
                <w:iCs/>
              </w:rPr>
            </w:pPr>
            <w:r w:rsidRPr="002D255A">
              <w:rPr>
                <w:b/>
                <w:iCs/>
              </w:rPr>
              <w:t>Right not to be subjected to slavery, servitude or forced labo</w:t>
            </w:r>
            <w:r>
              <w:rPr>
                <w:b/>
                <w:iCs/>
              </w:rPr>
              <w:t>u</w:t>
            </w:r>
            <w:r w:rsidRPr="002D255A">
              <w:rPr>
                <w:b/>
                <w:iCs/>
              </w:rPr>
              <w:t xml:space="preserve">r </w:t>
            </w:r>
          </w:p>
          <w:p w14:paraId="497F9C83" w14:textId="77777777" w:rsidR="00331781" w:rsidRPr="00855FBD" w:rsidRDefault="00331781" w:rsidP="00083338">
            <w:pPr>
              <w:pStyle w:val="Tabletextleft"/>
              <w:rPr>
                <w:iCs/>
                <w:lang w:val="it-IT"/>
              </w:rPr>
            </w:pPr>
            <w:r w:rsidRPr="00855FBD">
              <w:rPr>
                <w:iCs/>
                <w:lang w:val="it-IT"/>
              </w:rPr>
              <w:t>UDHR 4; ICCPR 8; ILO No.29; ILO No.105</w:t>
            </w:r>
          </w:p>
        </w:tc>
        <w:tc>
          <w:tcPr>
            <w:tcW w:w="1688" w:type="pct"/>
          </w:tcPr>
          <w:p w14:paraId="3FA434C4" w14:textId="77777777" w:rsidR="00331781" w:rsidRDefault="00331781" w:rsidP="00083338">
            <w:pPr>
              <w:pStyle w:val="Tabletextleft"/>
            </w:pPr>
            <w:r>
              <w:t xml:space="preserve">Is forced or compulsory labour a concern, including circumstances where personal identity documentation (e.g. passports) are withheld? In some cases, inadequate enforcement of labour laws may be a contributing factor. </w:t>
            </w:r>
          </w:p>
          <w:p w14:paraId="1989219E" w14:textId="77777777" w:rsidR="00331781" w:rsidRPr="00E00B5A" w:rsidRDefault="00331781" w:rsidP="00083338">
            <w:pPr>
              <w:pStyle w:val="Tabletextleft"/>
              <w:rPr>
                <w:u w:val="single"/>
              </w:rPr>
            </w:pPr>
            <w:r w:rsidRPr="00E00B5A">
              <w:rPr>
                <w:u w:val="single"/>
              </w:rPr>
              <w:t xml:space="preserve">Sources of potential risks could include: </w:t>
            </w:r>
          </w:p>
          <w:p w14:paraId="3CDB58C8" w14:textId="77777777" w:rsidR="00331781" w:rsidRPr="00CB0489" w:rsidRDefault="00331781" w:rsidP="00C154A6">
            <w:pPr>
              <w:pStyle w:val="Tablebullet"/>
              <w:rPr>
                <w:lang w:val="en-US"/>
              </w:rPr>
            </w:pPr>
            <w:proofErr w:type="spellStart"/>
            <w:r>
              <w:rPr>
                <w:lang w:val="en-US"/>
              </w:rPr>
              <w:t>Labour</w:t>
            </w:r>
            <w:proofErr w:type="spellEnd"/>
            <w:r w:rsidRPr="00CB0489">
              <w:rPr>
                <w:lang w:val="en-US"/>
              </w:rPr>
              <w:t xml:space="preserve"> and working conditions of employed workforce</w:t>
            </w:r>
          </w:p>
          <w:p w14:paraId="45E9B4D7" w14:textId="77777777" w:rsidR="00331781" w:rsidRPr="00CB0489" w:rsidRDefault="00331781" w:rsidP="00C154A6">
            <w:pPr>
              <w:pStyle w:val="Tablebullet"/>
              <w:rPr>
                <w:lang w:val="en-US"/>
              </w:rPr>
            </w:pPr>
            <w:proofErr w:type="spellStart"/>
            <w:r>
              <w:rPr>
                <w:lang w:val="en-US"/>
              </w:rPr>
              <w:t>Labour</w:t>
            </w:r>
            <w:proofErr w:type="spellEnd"/>
            <w:r w:rsidRPr="00CB0489">
              <w:rPr>
                <w:lang w:val="en-US"/>
              </w:rPr>
              <w:t xml:space="preserve"> and working conditions of contractors and sub-contractors</w:t>
            </w:r>
          </w:p>
          <w:p w14:paraId="31CB812F" w14:textId="77777777" w:rsidR="00331781" w:rsidRDefault="00331781" w:rsidP="00C154A6">
            <w:pPr>
              <w:pStyle w:val="Tablebullet"/>
              <w:rPr>
                <w:lang w:val="en-US"/>
              </w:rPr>
            </w:pPr>
            <w:proofErr w:type="spellStart"/>
            <w:r>
              <w:rPr>
                <w:lang w:val="en-US"/>
              </w:rPr>
              <w:t>Labour</w:t>
            </w:r>
            <w:proofErr w:type="spellEnd"/>
            <w:r w:rsidRPr="00CB0489">
              <w:rPr>
                <w:lang w:val="en-US"/>
              </w:rPr>
              <w:t xml:space="preserve"> and working conditions in the supply chain</w:t>
            </w:r>
          </w:p>
          <w:p w14:paraId="6727C32F" w14:textId="77777777" w:rsidR="00855FBD" w:rsidRDefault="00855FBD" w:rsidP="00C154A6">
            <w:pPr>
              <w:pStyle w:val="Tablebullet"/>
              <w:rPr>
                <w:lang w:val="en-US"/>
              </w:rPr>
            </w:pPr>
            <w:r>
              <w:rPr>
                <w:lang w:val="en-US"/>
              </w:rPr>
              <w:t xml:space="preserve">The presence of vulnerable workers (e.g. contract-workers, migrant workers) </w:t>
            </w:r>
          </w:p>
          <w:p w14:paraId="7B77DD7A" w14:textId="37689883" w:rsidR="00325143" w:rsidRDefault="00325143" w:rsidP="00C154A6">
            <w:pPr>
              <w:pStyle w:val="Tablebullet"/>
            </w:pPr>
            <w:r>
              <w:t>A lack of employments contracts</w:t>
            </w:r>
            <w:r w:rsidR="007E7A4B">
              <w:t>,</w:t>
            </w:r>
            <w:r>
              <w:t xml:space="preserve"> or contracts in languages not understood by workers</w:t>
            </w:r>
          </w:p>
          <w:p w14:paraId="407897BE" w14:textId="77777777" w:rsidR="0067160C" w:rsidRPr="0020657E" w:rsidRDefault="0067160C" w:rsidP="00C154A6">
            <w:pPr>
              <w:pStyle w:val="Tablebullet"/>
            </w:pPr>
            <w:r>
              <w:t xml:space="preserve">The usage of recruitment agencies </w:t>
            </w:r>
          </w:p>
        </w:tc>
        <w:tc>
          <w:tcPr>
            <w:tcW w:w="398" w:type="pct"/>
          </w:tcPr>
          <w:p w14:paraId="6D6228C4" w14:textId="77777777" w:rsidR="00331781" w:rsidRPr="0020657E" w:rsidRDefault="00331781" w:rsidP="00083338">
            <w:pPr>
              <w:pStyle w:val="Tabletextleft"/>
              <w:jc w:val="center"/>
            </w:pPr>
          </w:p>
        </w:tc>
        <w:tc>
          <w:tcPr>
            <w:tcW w:w="1753" w:type="pct"/>
          </w:tcPr>
          <w:p w14:paraId="69C2D1C0" w14:textId="77777777" w:rsidR="00331781" w:rsidRPr="0020657E" w:rsidRDefault="00331781" w:rsidP="00083338">
            <w:pPr>
              <w:pStyle w:val="Tabletextleft"/>
            </w:pPr>
          </w:p>
        </w:tc>
      </w:tr>
      <w:tr w:rsidR="00331781" w:rsidRPr="0020657E" w14:paraId="4B1ED7AB" w14:textId="77777777" w:rsidTr="00373C01">
        <w:tc>
          <w:tcPr>
            <w:tcW w:w="207" w:type="pct"/>
          </w:tcPr>
          <w:p w14:paraId="75D43ADE" w14:textId="77777777" w:rsidR="00331781" w:rsidRPr="0020657E" w:rsidRDefault="00331781" w:rsidP="00083338">
            <w:pPr>
              <w:pStyle w:val="Tabletextleft"/>
            </w:pPr>
            <w:r w:rsidRPr="0020657E">
              <w:t>4</w:t>
            </w:r>
          </w:p>
        </w:tc>
        <w:tc>
          <w:tcPr>
            <w:tcW w:w="954" w:type="pct"/>
          </w:tcPr>
          <w:p w14:paraId="69E349F6" w14:textId="77777777" w:rsidR="00331781" w:rsidRPr="002D255A" w:rsidRDefault="00331781" w:rsidP="00083338">
            <w:pPr>
              <w:pStyle w:val="Tabletextleft"/>
              <w:rPr>
                <w:b/>
                <w:iCs/>
              </w:rPr>
            </w:pPr>
            <w:r w:rsidRPr="002D255A">
              <w:rPr>
                <w:b/>
                <w:iCs/>
              </w:rPr>
              <w:t xml:space="preserve">Right not to be subjected to torture, cruel, inhuman and/or degrading treatment or punishment </w:t>
            </w:r>
          </w:p>
          <w:p w14:paraId="4F99512F" w14:textId="77777777" w:rsidR="00331781" w:rsidRPr="0020657E" w:rsidRDefault="00331781" w:rsidP="00083338">
            <w:pPr>
              <w:pStyle w:val="Tabletextleft"/>
              <w:rPr>
                <w:iCs/>
              </w:rPr>
            </w:pPr>
            <w:r w:rsidRPr="0020657E">
              <w:rPr>
                <w:iCs/>
              </w:rPr>
              <w:t>UDHR 5; ICCPR 7</w:t>
            </w:r>
          </w:p>
        </w:tc>
        <w:tc>
          <w:tcPr>
            <w:tcW w:w="1688" w:type="pct"/>
          </w:tcPr>
          <w:p w14:paraId="47CC6AB7" w14:textId="77777777" w:rsidR="00331781" w:rsidRDefault="00331781" w:rsidP="00083338">
            <w:pPr>
              <w:pStyle w:val="Tabletextleft"/>
            </w:pPr>
            <w:r>
              <w:t xml:space="preserve">Are there circumstances or practices that could support or lead to cruel or degrading treatment of workers or others? </w:t>
            </w:r>
          </w:p>
          <w:p w14:paraId="0826C4E0" w14:textId="77777777" w:rsidR="00331781" w:rsidRPr="00E00B5A" w:rsidRDefault="00331781" w:rsidP="00083338">
            <w:pPr>
              <w:pStyle w:val="Tabletextleft"/>
              <w:rPr>
                <w:u w:val="single"/>
              </w:rPr>
            </w:pPr>
            <w:r w:rsidRPr="00E00B5A">
              <w:rPr>
                <w:u w:val="single"/>
              </w:rPr>
              <w:t xml:space="preserve">Sources of potential risks could include: </w:t>
            </w:r>
          </w:p>
          <w:p w14:paraId="525B8969" w14:textId="30868082" w:rsidR="00331781" w:rsidRPr="00CB0489" w:rsidRDefault="00331781" w:rsidP="00C154A6">
            <w:pPr>
              <w:pStyle w:val="Tablebullet"/>
              <w:rPr>
                <w:lang w:val="en-US"/>
              </w:rPr>
            </w:pPr>
            <w:r w:rsidRPr="00CB0489">
              <w:rPr>
                <w:lang w:val="en-US"/>
              </w:rPr>
              <w:t xml:space="preserve">Security </w:t>
            </w:r>
            <w:r w:rsidR="007E7A4B">
              <w:rPr>
                <w:lang w:val="en-US"/>
              </w:rPr>
              <w:t xml:space="preserve">interactions with </w:t>
            </w:r>
            <w:r w:rsidRPr="00CB0489">
              <w:rPr>
                <w:lang w:val="en-US"/>
              </w:rPr>
              <w:t>community</w:t>
            </w:r>
            <w:r w:rsidR="007E7A4B">
              <w:rPr>
                <w:lang w:val="en-US"/>
              </w:rPr>
              <w:t xml:space="preserve"> or </w:t>
            </w:r>
            <w:r w:rsidRPr="00CB0489">
              <w:rPr>
                <w:lang w:val="en-US"/>
              </w:rPr>
              <w:t>workforce</w:t>
            </w:r>
          </w:p>
          <w:p w14:paraId="1CB3584A" w14:textId="77777777" w:rsidR="00331781" w:rsidRPr="00CB0489" w:rsidRDefault="00331781" w:rsidP="00C154A6">
            <w:pPr>
              <w:pStyle w:val="Tablebullet"/>
              <w:rPr>
                <w:lang w:val="en-US"/>
              </w:rPr>
            </w:pPr>
            <w:r w:rsidRPr="00CB0489">
              <w:rPr>
                <w:lang w:val="en-US"/>
              </w:rPr>
              <w:t>Security response measures relying on detention in prisons</w:t>
            </w:r>
          </w:p>
          <w:p w14:paraId="274ECBE0" w14:textId="731D5942" w:rsidR="00331781" w:rsidRDefault="007E7A4B" w:rsidP="00C154A6">
            <w:pPr>
              <w:pStyle w:val="Tablebullet"/>
              <w:rPr>
                <w:lang w:val="en-US"/>
              </w:rPr>
            </w:pPr>
            <w:r>
              <w:rPr>
                <w:lang w:val="en-US"/>
              </w:rPr>
              <w:t>Cruel</w:t>
            </w:r>
            <w:r w:rsidR="00331781" w:rsidRPr="00CB0489">
              <w:rPr>
                <w:lang w:val="en-US"/>
              </w:rPr>
              <w:t xml:space="preserve"> or inhumane treatment of workers by supervisors or fellow employees</w:t>
            </w:r>
          </w:p>
          <w:p w14:paraId="14F024AC" w14:textId="35C82D71" w:rsidR="00855FBD" w:rsidRPr="0020657E" w:rsidRDefault="00855FBD" w:rsidP="00C154A6">
            <w:pPr>
              <w:pStyle w:val="Tablebullet"/>
            </w:pPr>
            <w:r>
              <w:rPr>
                <w:lang w:val="en-US"/>
              </w:rPr>
              <w:t>The presence of vulnerable workers (e.g. contract-workers, migrant workers) that may accept mistreatment due to precarious employment conditions</w:t>
            </w:r>
            <w:r w:rsidR="007E7A4B">
              <w:rPr>
                <w:lang w:val="en-US"/>
              </w:rPr>
              <w:t>, and/or may not understand their rights</w:t>
            </w:r>
          </w:p>
        </w:tc>
        <w:tc>
          <w:tcPr>
            <w:tcW w:w="398" w:type="pct"/>
          </w:tcPr>
          <w:p w14:paraId="5BBB9B39" w14:textId="77777777" w:rsidR="00331781" w:rsidRPr="0020657E" w:rsidRDefault="00331781" w:rsidP="00083338">
            <w:pPr>
              <w:spacing w:before="40" w:after="40"/>
              <w:ind w:left="191"/>
              <w:jc w:val="center"/>
              <w:rPr>
                <w:rFonts w:cs="Arial"/>
              </w:rPr>
            </w:pPr>
          </w:p>
        </w:tc>
        <w:tc>
          <w:tcPr>
            <w:tcW w:w="1753" w:type="pct"/>
          </w:tcPr>
          <w:p w14:paraId="473EB126" w14:textId="77777777" w:rsidR="00331781" w:rsidRPr="0020657E" w:rsidRDefault="00331781" w:rsidP="00083338">
            <w:pPr>
              <w:spacing w:before="40" w:after="40"/>
              <w:ind w:left="191"/>
              <w:rPr>
                <w:rFonts w:cs="Arial"/>
              </w:rPr>
            </w:pPr>
          </w:p>
        </w:tc>
      </w:tr>
      <w:tr w:rsidR="00331781" w:rsidRPr="0020657E" w14:paraId="3D8084DB" w14:textId="77777777" w:rsidTr="00373C01">
        <w:tc>
          <w:tcPr>
            <w:tcW w:w="207" w:type="pct"/>
          </w:tcPr>
          <w:p w14:paraId="7944A54B" w14:textId="77777777" w:rsidR="00331781" w:rsidRPr="0020657E" w:rsidRDefault="00331781" w:rsidP="00083338">
            <w:pPr>
              <w:pStyle w:val="Tabletextleft"/>
            </w:pPr>
            <w:r w:rsidRPr="0020657E">
              <w:t>5</w:t>
            </w:r>
          </w:p>
        </w:tc>
        <w:tc>
          <w:tcPr>
            <w:tcW w:w="954" w:type="pct"/>
          </w:tcPr>
          <w:p w14:paraId="598616D8" w14:textId="77777777" w:rsidR="00331781" w:rsidRPr="002D255A" w:rsidRDefault="00331781" w:rsidP="00083338">
            <w:pPr>
              <w:pStyle w:val="Tabletextleft"/>
              <w:rPr>
                <w:b/>
                <w:iCs/>
              </w:rPr>
            </w:pPr>
            <w:r w:rsidRPr="002D255A">
              <w:rPr>
                <w:b/>
                <w:iCs/>
              </w:rPr>
              <w:t>Right to recognition as a person before the law</w:t>
            </w:r>
          </w:p>
          <w:p w14:paraId="08274C31" w14:textId="77777777" w:rsidR="00331781" w:rsidRPr="0020657E" w:rsidRDefault="00331781" w:rsidP="00083338">
            <w:pPr>
              <w:pStyle w:val="Tabletextleft"/>
              <w:rPr>
                <w:iCs/>
              </w:rPr>
            </w:pPr>
            <w:r w:rsidRPr="0020657E">
              <w:rPr>
                <w:iCs/>
              </w:rPr>
              <w:t>UDHR 6; ICCPR 16</w:t>
            </w:r>
          </w:p>
        </w:tc>
        <w:tc>
          <w:tcPr>
            <w:tcW w:w="1688" w:type="pct"/>
          </w:tcPr>
          <w:p w14:paraId="66A2A09B" w14:textId="77777777" w:rsidR="00331781" w:rsidRDefault="00331781" w:rsidP="00083338">
            <w:pPr>
              <w:pStyle w:val="Tabletextleft"/>
            </w:pPr>
            <w:r>
              <w:t>Are there situations where some groups are not equally recognized as people under the law? Factors influencing this right could include differences based gender, ethnicity, cultural or religious affiliation, migrant status, disability, poverty or other characteristics.</w:t>
            </w:r>
          </w:p>
          <w:p w14:paraId="07F84BFB" w14:textId="77777777" w:rsidR="00331781" w:rsidRPr="00E00B5A" w:rsidRDefault="00331781" w:rsidP="00083338">
            <w:pPr>
              <w:pStyle w:val="Tabletextleft"/>
              <w:rPr>
                <w:u w:val="single"/>
              </w:rPr>
            </w:pPr>
            <w:r w:rsidRPr="00E00B5A">
              <w:rPr>
                <w:u w:val="single"/>
              </w:rPr>
              <w:t xml:space="preserve">Sources of potential risks could include: </w:t>
            </w:r>
          </w:p>
          <w:p w14:paraId="5B877E59" w14:textId="77777777" w:rsidR="00331781" w:rsidRPr="00CB0489" w:rsidRDefault="00331781" w:rsidP="00C154A6">
            <w:pPr>
              <w:pStyle w:val="Tablebullet"/>
              <w:rPr>
                <w:lang w:val="en-US"/>
              </w:rPr>
            </w:pPr>
            <w:r w:rsidRPr="00CB0489">
              <w:rPr>
                <w:lang w:val="en-US"/>
              </w:rPr>
              <w:t xml:space="preserve">Approach to recruitment processes for the </w:t>
            </w:r>
            <w:r w:rsidRPr="00CB0489">
              <w:rPr>
                <w:rStyle w:val="A2"/>
                <w:bCs/>
                <w:lang w:val="en-US"/>
              </w:rPr>
              <w:t>operation/ project</w:t>
            </w:r>
            <w:r w:rsidRPr="00CB0489">
              <w:rPr>
                <w:lang w:val="en-US"/>
              </w:rPr>
              <w:t xml:space="preserve"> or by contractors</w:t>
            </w:r>
          </w:p>
          <w:p w14:paraId="780715F0" w14:textId="42AF9CE0" w:rsidR="00331781" w:rsidRDefault="00331781" w:rsidP="00C154A6">
            <w:pPr>
              <w:pStyle w:val="Tablebullet"/>
              <w:rPr>
                <w:lang w:val="en-US"/>
              </w:rPr>
            </w:pPr>
            <w:r w:rsidRPr="00CB0489">
              <w:rPr>
                <w:lang w:val="en-US"/>
              </w:rPr>
              <w:t>Approach to management and resolution of issues in the workplace (direct employees or contractors)</w:t>
            </w:r>
          </w:p>
          <w:p w14:paraId="66221B8F" w14:textId="68641E7B" w:rsidR="007E7A4B" w:rsidRPr="00CB0489" w:rsidRDefault="007E7A4B" w:rsidP="00C154A6">
            <w:pPr>
              <w:pStyle w:val="Tablebullet"/>
              <w:rPr>
                <w:lang w:val="en-US"/>
              </w:rPr>
            </w:pPr>
            <w:r>
              <w:rPr>
                <w:lang w:val="en-US"/>
              </w:rPr>
              <w:t>Approach to land-take and/or related negotiations</w:t>
            </w:r>
          </w:p>
          <w:p w14:paraId="42E190D2" w14:textId="77777777" w:rsidR="00331781" w:rsidRPr="0020657E" w:rsidRDefault="00331781" w:rsidP="00C154A6">
            <w:pPr>
              <w:pStyle w:val="Tablebullet"/>
            </w:pPr>
            <w:r w:rsidRPr="00CB0489">
              <w:rPr>
                <w:lang w:val="en-US"/>
              </w:rPr>
              <w:lastRenderedPageBreak/>
              <w:t>Participation of vulnerable groups in impact assessment / compensation  processes</w:t>
            </w:r>
          </w:p>
        </w:tc>
        <w:tc>
          <w:tcPr>
            <w:tcW w:w="398" w:type="pct"/>
          </w:tcPr>
          <w:p w14:paraId="627DB336" w14:textId="77777777" w:rsidR="00331781" w:rsidRPr="0020657E" w:rsidRDefault="00331781" w:rsidP="00083338">
            <w:pPr>
              <w:spacing w:before="40" w:after="40"/>
              <w:jc w:val="center"/>
              <w:rPr>
                <w:rFonts w:cs="Arial"/>
              </w:rPr>
            </w:pPr>
          </w:p>
        </w:tc>
        <w:tc>
          <w:tcPr>
            <w:tcW w:w="1753" w:type="pct"/>
          </w:tcPr>
          <w:p w14:paraId="0B51002D" w14:textId="77777777" w:rsidR="00331781" w:rsidRPr="0020657E" w:rsidRDefault="00331781" w:rsidP="00083338">
            <w:pPr>
              <w:spacing w:before="40" w:after="40"/>
              <w:rPr>
                <w:rFonts w:cs="Arial"/>
              </w:rPr>
            </w:pPr>
          </w:p>
        </w:tc>
      </w:tr>
      <w:tr w:rsidR="00331781" w:rsidRPr="0020657E" w14:paraId="4AC357DD" w14:textId="77777777" w:rsidTr="00373C01">
        <w:tc>
          <w:tcPr>
            <w:tcW w:w="207" w:type="pct"/>
          </w:tcPr>
          <w:p w14:paraId="06759C7B" w14:textId="77777777" w:rsidR="00331781" w:rsidRPr="0020657E" w:rsidRDefault="00331781" w:rsidP="00083338">
            <w:pPr>
              <w:pStyle w:val="Tabletextleft"/>
            </w:pPr>
            <w:r w:rsidRPr="0020657E">
              <w:t>6</w:t>
            </w:r>
          </w:p>
        </w:tc>
        <w:tc>
          <w:tcPr>
            <w:tcW w:w="954" w:type="pct"/>
          </w:tcPr>
          <w:p w14:paraId="6900C2C5" w14:textId="77777777" w:rsidR="00331781" w:rsidRPr="002D255A" w:rsidRDefault="00331781" w:rsidP="00083338">
            <w:pPr>
              <w:pStyle w:val="Tabletextleft"/>
              <w:rPr>
                <w:b/>
                <w:iCs/>
              </w:rPr>
            </w:pPr>
            <w:r w:rsidRPr="002D255A">
              <w:rPr>
                <w:b/>
                <w:iCs/>
              </w:rPr>
              <w:t>Right to equality before the law, equal protection of the law, non-discrimination</w:t>
            </w:r>
          </w:p>
          <w:p w14:paraId="5D3CE039" w14:textId="77777777" w:rsidR="00331781" w:rsidRPr="0020657E" w:rsidRDefault="00331781" w:rsidP="00083338">
            <w:pPr>
              <w:pStyle w:val="Tabletextleft"/>
              <w:rPr>
                <w:iCs/>
              </w:rPr>
            </w:pPr>
            <w:r w:rsidRPr="0020657E">
              <w:rPr>
                <w:iCs/>
              </w:rPr>
              <w:t>UDHR 7; ICCPR 26; ILO No.111</w:t>
            </w:r>
          </w:p>
        </w:tc>
        <w:tc>
          <w:tcPr>
            <w:tcW w:w="1688" w:type="pct"/>
          </w:tcPr>
          <w:p w14:paraId="0372D0B0" w14:textId="77777777" w:rsidR="001807C6" w:rsidRDefault="00A06885" w:rsidP="00083338">
            <w:pPr>
              <w:pStyle w:val="Tabletextleft"/>
              <w:rPr>
                <w:rFonts w:cstheme="minorHAnsi"/>
                <w:szCs w:val="18"/>
              </w:rPr>
            </w:pPr>
            <w:r>
              <w:rPr>
                <w:rFonts w:cstheme="minorHAnsi"/>
                <w:szCs w:val="18"/>
              </w:rPr>
              <w:t>Does the P</w:t>
            </w:r>
            <w:r w:rsidR="001807C6">
              <w:rPr>
                <w:rFonts w:cstheme="minorHAnsi"/>
                <w:szCs w:val="18"/>
              </w:rPr>
              <w:t>roject have the possibility of exacerbating tensions and situations whereby certain individuals would not be guaranteed the right to non-discrimination and equality and equal protection of the law</w:t>
            </w:r>
            <w:r w:rsidR="000D5AEA">
              <w:rPr>
                <w:rFonts w:cstheme="minorHAnsi"/>
                <w:szCs w:val="18"/>
              </w:rPr>
              <w:t>, either formally or informally</w:t>
            </w:r>
            <w:r>
              <w:rPr>
                <w:rFonts w:cstheme="minorHAnsi"/>
                <w:szCs w:val="18"/>
              </w:rPr>
              <w:t xml:space="preserve">, and within the workplace? </w:t>
            </w:r>
          </w:p>
          <w:p w14:paraId="66BCAB94" w14:textId="77777777" w:rsidR="00874826" w:rsidRPr="001807C6" w:rsidRDefault="00331781" w:rsidP="00083338">
            <w:pPr>
              <w:pStyle w:val="Tabletextleft"/>
              <w:rPr>
                <w:rFonts w:cstheme="minorHAnsi"/>
                <w:szCs w:val="18"/>
                <w:u w:val="single"/>
              </w:rPr>
            </w:pPr>
            <w:r w:rsidRPr="001807C6">
              <w:rPr>
                <w:rFonts w:cstheme="minorHAnsi"/>
                <w:szCs w:val="18"/>
                <w:u w:val="single"/>
              </w:rPr>
              <w:t xml:space="preserve">Sources of potential risks could include: </w:t>
            </w:r>
          </w:p>
          <w:p w14:paraId="6F0F3D15" w14:textId="77777777" w:rsidR="001807C6" w:rsidRPr="00CB0489" w:rsidRDefault="001807C6" w:rsidP="00C154A6">
            <w:pPr>
              <w:pStyle w:val="Tablebullet"/>
              <w:rPr>
                <w:lang w:val="en-US"/>
              </w:rPr>
            </w:pPr>
            <w:r w:rsidRPr="00CB0489">
              <w:rPr>
                <w:lang w:val="en-US"/>
              </w:rPr>
              <w:t>Approach to management and resolution of issues in the workplace (direct employees or contractors)</w:t>
            </w:r>
          </w:p>
          <w:p w14:paraId="36A7332F" w14:textId="77777777" w:rsidR="001807C6" w:rsidRPr="001807C6" w:rsidRDefault="00D758FA" w:rsidP="00C154A6">
            <w:pPr>
              <w:pStyle w:val="Tablebullet"/>
              <w:rPr>
                <w:lang w:val="en-US"/>
              </w:rPr>
            </w:pPr>
            <w:r w:rsidRPr="001807C6">
              <w:t xml:space="preserve">Approach to recruitment and hiring </w:t>
            </w:r>
            <w:r w:rsidR="001807C6">
              <w:t>as well as promotions</w:t>
            </w:r>
            <w:r w:rsidR="001807C6" w:rsidRPr="00CB0489">
              <w:rPr>
                <w:lang w:val="en-US"/>
              </w:rPr>
              <w:t xml:space="preserve"> </w:t>
            </w:r>
            <w:r w:rsidR="001807C6">
              <w:rPr>
                <w:lang w:val="en-US"/>
              </w:rPr>
              <w:t>(</w:t>
            </w:r>
            <w:r w:rsidR="001807C6" w:rsidRPr="00CB0489">
              <w:rPr>
                <w:lang w:val="en-US"/>
              </w:rPr>
              <w:t>d</w:t>
            </w:r>
            <w:r w:rsidR="001807C6">
              <w:rPr>
                <w:lang w:val="en-US"/>
              </w:rPr>
              <w:t>irect employees or contractors)</w:t>
            </w:r>
          </w:p>
          <w:p w14:paraId="476362EC" w14:textId="77777777" w:rsidR="00D758FA" w:rsidRPr="001807C6" w:rsidRDefault="00D758FA" w:rsidP="00C154A6">
            <w:pPr>
              <w:pStyle w:val="Tablebullet"/>
            </w:pPr>
            <w:r w:rsidRPr="001807C6">
              <w:t>Approach to retrenchment and dismissal that may disproportionately affect one group</w:t>
            </w:r>
          </w:p>
          <w:p w14:paraId="4AD6D133" w14:textId="77777777" w:rsidR="00D758FA" w:rsidRPr="001807C6" w:rsidRDefault="00D758FA" w:rsidP="00C154A6">
            <w:pPr>
              <w:pStyle w:val="Tablebullet"/>
            </w:pPr>
            <w:r w:rsidRPr="001807C6">
              <w:t>Payment or promotion approaches that are influenced by criteria that is discriminatory</w:t>
            </w:r>
          </w:p>
          <w:p w14:paraId="2E2466B9" w14:textId="77777777" w:rsidR="00331781" w:rsidRPr="001807C6" w:rsidRDefault="00D758FA" w:rsidP="00C154A6">
            <w:pPr>
              <w:pStyle w:val="Tablebullet"/>
            </w:pPr>
            <w:r w:rsidRPr="001807C6">
              <w:t xml:space="preserve">Approaches to maternity leave </w:t>
            </w:r>
            <w:r w:rsidR="008862BF">
              <w:t>and holiday provisions</w:t>
            </w:r>
          </w:p>
        </w:tc>
        <w:tc>
          <w:tcPr>
            <w:tcW w:w="398" w:type="pct"/>
          </w:tcPr>
          <w:p w14:paraId="45858ED7" w14:textId="77777777" w:rsidR="00331781" w:rsidRPr="0020657E" w:rsidRDefault="00331781" w:rsidP="00083338">
            <w:pPr>
              <w:spacing w:before="40" w:after="40"/>
              <w:jc w:val="center"/>
              <w:rPr>
                <w:rFonts w:cs="Arial"/>
              </w:rPr>
            </w:pPr>
          </w:p>
        </w:tc>
        <w:tc>
          <w:tcPr>
            <w:tcW w:w="1753" w:type="pct"/>
          </w:tcPr>
          <w:p w14:paraId="2FC59A75" w14:textId="77777777" w:rsidR="00331781" w:rsidRPr="0020657E" w:rsidRDefault="00331781" w:rsidP="00083338">
            <w:pPr>
              <w:spacing w:before="40" w:after="40"/>
              <w:rPr>
                <w:rFonts w:cs="Arial"/>
              </w:rPr>
            </w:pPr>
          </w:p>
        </w:tc>
      </w:tr>
      <w:tr w:rsidR="007E7A4B" w:rsidRPr="0020657E" w14:paraId="2A480815" w14:textId="77777777" w:rsidTr="00373C01">
        <w:tc>
          <w:tcPr>
            <w:tcW w:w="207" w:type="pct"/>
            <w:shd w:val="clear" w:color="auto" w:fill="E7E6E6" w:themeFill="background2"/>
          </w:tcPr>
          <w:p w14:paraId="430E9F90" w14:textId="77777777" w:rsidR="007E7A4B" w:rsidRPr="0020657E" w:rsidRDefault="007E7A4B" w:rsidP="007E7A4B">
            <w:pPr>
              <w:pStyle w:val="Tabletextleft"/>
            </w:pPr>
            <w:r w:rsidRPr="0020657E">
              <w:t>7</w:t>
            </w:r>
          </w:p>
        </w:tc>
        <w:tc>
          <w:tcPr>
            <w:tcW w:w="954" w:type="pct"/>
            <w:shd w:val="clear" w:color="auto" w:fill="E7E6E6" w:themeFill="background2"/>
          </w:tcPr>
          <w:p w14:paraId="230C2ED5" w14:textId="77777777" w:rsidR="007E7A4B" w:rsidRPr="002D255A" w:rsidRDefault="007E7A4B" w:rsidP="007E7A4B">
            <w:pPr>
              <w:pStyle w:val="Tabletextleft"/>
              <w:rPr>
                <w:b/>
                <w:iCs/>
              </w:rPr>
            </w:pPr>
            <w:r w:rsidRPr="002D255A">
              <w:rPr>
                <w:b/>
                <w:iCs/>
              </w:rPr>
              <w:t xml:space="preserve">Right to freedom from war propaganda, and freedom from incitement to racial, religious or national hatred </w:t>
            </w:r>
          </w:p>
          <w:p w14:paraId="256D5ADA" w14:textId="77777777" w:rsidR="007E7A4B" w:rsidRPr="0020657E" w:rsidRDefault="007E7A4B" w:rsidP="007E7A4B">
            <w:pPr>
              <w:pStyle w:val="Tabletextleft"/>
              <w:rPr>
                <w:iCs/>
              </w:rPr>
            </w:pPr>
            <w:r w:rsidRPr="0020657E">
              <w:rPr>
                <w:iCs/>
              </w:rPr>
              <w:t xml:space="preserve">UDHR 7; ICCPR 20 </w:t>
            </w:r>
          </w:p>
        </w:tc>
        <w:tc>
          <w:tcPr>
            <w:tcW w:w="1688" w:type="pct"/>
            <w:shd w:val="clear" w:color="auto" w:fill="E7E6E6" w:themeFill="background2"/>
          </w:tcPr>
          <w:p w14:paraId="37F50C2D" w14:textId="2D9C712A" w:rsidR="007E7A4B" w:rsidRPr="00B5474E" w:rsidRDefault="007E7A4B" w:rsidP="007E7A4B">
            <w:pPr>
              <w:pStyle w:val="Tabletextleft"/>
              <w:rPr>
                <w:color w:val="FF0000"/>
                <w:lang w:val="en-US"/>
              </w:rPr>
            </w:pPr>
            <w:r w:rsidRPr="007E47D5">
              <w:t xml:space="preserve">Unlikely to be relevant </w:t>
            </w:r>
            <w:r>
              <w:t>to a GRMF</w:t>
            </w:r>
            <w:r w:rsidRPr="007E47D5">
              <w:t xml:space="preserve"> Project </w:t>
            </w:r>
          </w:p>
        </w:tc>
        <w:tc>
          <w:tcPr>
            <w:tcW w:w="398" w:type="pct"/>
            <w:shd w:val="clear" w:color="auto" w:fill="E7E6E6" w:themeFill="background2"/>
          </w:tcPr>
          <w:p w14:paraId="4EE0DFF5" w14:textId="77777777" w:rsidR="007E7A4B" w:rsidRPr="0020657E" w:rsidRDefault="007E7A4B" w:rsidP="007E7A4B">
            <w:pPr>
              <w:spacing w:before="40" w:after="40"/>
              <w:jc w:val="center"/>
              <w:rPr>
                <w:rFonts w:cs="Arial"/>
              </w:rPr>
            </w:pPr>
          </w:p>
        </w:tc>
        <w:tc>
          <w:tcPr>
            <w:tcW w:w="1753" w:type="pct"/>
            <w:shd w:val="clear" w:color="auto" w:fill="E7E6E6" w:themeFill="background2"/>
          </w:tcPr>
          <w:p w14:paraId="23FC8A08" w14:textId="77777777" w:rsidR="007E7A4B" w:rsidRPr="0020657E" w:rsidRDefault="007E7A4B" w:rsidP="007E7A4B">
            <w:pPr>
              <w:spacing w:before="40" w:after="40"/>
              <w:rPr>
                <w:rFonts w:cs="Arial"/>
              </w:rPr>
            </w:pPr>
          </w:p>
        </w:tc>
      </w:tr>
      <w:tr w:rsidR="007E7A4B" w:rsidRPr="0020657E" w14:paraId="0E12C8D8" w14:textId="77777777" w:rsidTr="00A147B7">
        <w:tc>
          <w:tcPr>
            <w:tcW w:w="207" w:type="pct"/>
            <w:tcBorders>
              <w:bottom w:val="single" w:sz="2" w:space="0" w:color="E7E6E6" w:themeColor="background2"/>
            </w:tcBorders>
          </w:tcPr>
          <w:p w14:paraId="286AE9CB" w14:textId="77777777" w:rsidR="007E7A4B" w:rsidRPr="0020657E" w:rsidRDefault="007E7A4B" w:rsidP="007E7A4B">
            <w:pPr>
              <w:pStyle w:val="Tabletextleft"/>
            </w:pPr>
            <w:r w:rsidRPr="0020657E">
              <w:t>8</w:t>
            </w:r>
          </w:p>
        </w:tc>
        <w:tc>
          <w:tcPr>
            <w:tcW w:w="954" w:type="pct"/>
            <w:tcBorders>
              <w:bottom w:val="single" w:sz="2" w:space="0" w:color="E7E6E6" w:themeColor="background2"/>
            </w:tcBorders>
          </w:tcPr>
          <w:p w14:paraId="2897D442" w14:textId="77777777" w:rsidR="007E7A4B" w:rsidRDefault="007E7A4B" w:rsidP="007E7A4B">
            <w:pPr>
              <w:pStyle w:val="Tabletextleft"/>
              <w:rPr>
                <w:iCs/>
              </w:rPr>
            </w:pPr>
            <w:r w:rsidRPr="002D255A">
              <w:rPr>
                <w:b/>
                <w:iCs/>
              </w:rPr>
              <w:t>Right to access to effective remedies</w:t>
            </w:r>
            <w:r w:rsidRPr="0020657E">
              <w:rPr>
                <w:iCs/>
              </w:rPr>
              <w:t xml:space="preserve"> </w:t>
            </w:r>
          </w:p>
          <w:p w14:paraId="63B6B4B4" w14:textId="77777777" w:rsidR="007E7A4B" w:rsidRPr="0020657E" w:rsidRDefault="007E7A4B" w:rsidP="007E7A4B">
            <w:pPr>
              <w:pStyle w:val="Tabletextleft"/>
              <w:rPr>
                <w:iCs/>
              </w:rPr>
            </w:pPr>
            <w:r w:rsidRPr="0020657E">
              <w:rPr>
                <w:iCs/>
              </w:rPr>
              <w:t>UDHR 8; ICCPR 2</w:t>
            </w:r>
          </w:p>
        </w:tc>
        <w:tc>
          <w:tcPr>
            <w:tcW w:w="1688" w:type="pct"/>
            <w:tcBorders>
              <w:bottom w:val="single" w:sz="2" w:space="0" w:color="E7E6E6" w:themeColor="background2"/>
            </w:tcBorders>
          </w:tcPr>
          <w:p w14:paraId="733F373A" w14:textId="77777777" w:rsidR="007E7A4B" w:rsidRPr="001807C6" w:rsidRDefault="007E7A4B" w:rsidP="007E7A4B">
            <w:pPr>
              <w:pStyle w:val="Tabletextleft"/>
              <w:rPr>
                <w:rFonts w:cstheme="minorHAnsi"/>
                <w:szCs w:val="18"/>
              </w:rPr>
            </w:pPr>
            <w:r>
              <w:rPr>
                <w:rFonts w:cstheme="minorHAnsi"/>
                <w:szCs w:val="18"/>
              </w:rPr>
              <w:t xml:space="preserve">Does the Project have an effective and appropriate Grievance Mechanism in place as well as processes and a structure to enable effective access to remedy? </w:t>
            </w:r>
          </w:p>
          <w:p w14:paraId="5B36A41B" w14:textId="77777777" w:rsidR="007E7A4B" w:rsidRPr="001807C6" w:rsidRDefault="007E7A4B" w:rsidP="007E7A4B">
            <w:pPr>
              <w:pStyle w:val="Tabletextleft"/>
              <w:rPr>
                <w:rFonts w:cstheme="minorHAnsi"/>
                <w:szCs w:val="18"/>
                <w:u w:val="single"/>
              </w:rPr>
            </w:pPr>
            <w:r w:rsidRPr="001807C6">
              <w:rPr>
                <w:rFonts w:cstheme="minorHAnsi"/>
                <w:szCs w:val="18"/>
                <w:u w:val="single"/>
              </w:rPr>
              <w:t xml:space="preserve">Sources of potential risks could include: </w:t>
            </w:r>
          </w:p>
          <w:p w14:paraId="5A427959" w14:textId="4BF85472" w:rsidR="007E7A4B" w:rsidRPr="001807C6" w:rsidRDefault="007E7A4B" w:rsidP="007E7A4B">
            <w:pPr>
              <w:pStyle w:val="Tablebullet"/>
            </w:pPr>
            <w:r w:rsidRPr="001807C6">
              <w:t>A lack of an effective</w:t>
            </w:r>
            <w:r>
              <w:t>,</w:t>
            </w:r>
            <w:r w:rsidRPr="001807C6">
              <w:t xml:space="preserve"> trusted grievance mechanism and complaints handling system that is non-judicial (</w:t>
            </w:r>
            <w:r>
              <w:t xml:space="preserve">required </w:t>
            </w:r>
            <w:r w:rsidRPr="001807C6">
              <w:t xml:space="preserve">at the Project/company level) </w:t>
            </w:r>
          </w:p>
          <w:p w14:paraId="4336277E" w14:textId="77777777" w:rsidR="007E7A4B" w:rsidRDefault="007E7A4B" w:rsidP="007E7A4B">
            <w:pPr>
              <w:pStyle w:val="Tablebullet"/>
            </w:pPr>
            <w:r w:rsidRPr="001807C6">
              <w:t>Lack of community/stakeholder engagement by the Project in all phases</w:t>
            </w:r>
          </w:p>
          <w:p w14:paraId="07240B09" w14:textId="7DC1A891" w:rsidR="007E7A4B" w:rsidRPr="007E7A4B" w:rsidRDefault="007E7A4B" w:rsidP="007E7A4B">
            <w:pPr>
              <w:pStyle w:val="Tablebullet"/>
            </w:pPr>
            <w:r>
              <w:t>No oversight or follow-up on grievances to allow for effective access to remedy</w:t>
            </w:r>
          </w:p>
        </w:tc>
        <w:tc>
          <w:tcPr>
            <w:tcW w:w="398" w:type="pct"/>
            <w:tcBorders>
              <w:bottom w:val="single" w:sz="2" w:space="0" w:color="E7E6E6" w:themeColor="background2"/>
            </w:tcBorders>
          </w:tcPr>
          <w:p w14:paraId="0CC80BC0" w14:textId="77777777" w:rsidR="007E7A4B" w:rsidRPr="0020657E" w:rsidRDefault="007E7A4B" w:rsidP="007E7A4B">
            <w:pPr>
              <w:spacing w:before="40" w:after="40"/>
              <w:jc w:val="center"/>
              <w:rPr>
                <w:rFonts w:cs="Arial"/>
              </w:rPr>
            </w:pPr>
          </w:p>
        </w:tc>
        <w:tc>
          <w:tcPr>
            <w:tcW w:w="1753" w:type="pct"/>
            <w:tcBorders>
              <w:bottom w:val="single" w:sz="2" w:space="0" w:color="E7E6E6" w:themeColor="background2"/>
            </w:tcBorders>
          </w:tcPr>
          <w:p w14:paraId="7177700E" w14:textId="77777777" w:rsidR="007E7A4B" w:rsidRPr="0020657E" w:rsidRDefault="007E7A4B" w:rsidP="007E7A4B">
            <w:pPr>
              <w:spacing w:before="40" w:after="40"/>
              <w:rPr>
                <w:rFonts w:cs="Arial"/>
              </w:rPr>
            </w:pPr>
          </w:p>
        </w:tc>
      </w:tr>
      <w:tr w:rsidR="007E7A4B" w:rsidRPr="0020657E" w14:paraId="79D36757" w14:textId="77777777" w:rsidTr="00A147B7">
        <w:tc>
          <w:tcPr>
            <w:tcW w:w="207" w:type="pct"/>
            <w:tcBorders>
              <w:bottom w:val="single" w:sz="2" w:space="0" w:color="FFFFFF" w:themeColor="background1"/>
              <w:right w:val="single" w:sz="2" w:space="0" w:color="FFFFFF" w:themeColor="background1"/>
            </w:tcBorders>
            <w:shd w:val="clear" w:color="auto" w:fill="E7E6E6" w:themeFill="background2"/>
          </w:tcPr>
          <w:p w14:paraId="01AFAE69" w14:textId="77777777" w:rsidR="007E7A4B" w:rsidRPr="0020657E" w:rsidRDefault="007E7A4B" w:rsidP="007E7A4B">
            <w:pPr>
              <w:pStyle w:val="Tabletextleft"/>
            </w:pPr>
            <w:r w:rsidRPr="0020657E">
              <w:t>9</w:t>
            </w:r>
          </w:p>
        </w:tc>
        <w:tc>
          <w:tcPr>
            <w:tcW w:w="954"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4BC29E80" w14:textId="77777777" w:rsidR="007E7A4B" w:rsidRPr="002D255A" w:rsidRDefault="007E7A4B" w:rsidP="007E7A4B">
            <w:pPr>
              <w:pStyle w:val="Tabletextleft"/>
              <w:rPr>
                <w:b/>
                <w:iCs/>
              </w:rPr>
            </w:pPr>
            <w:r w:rsidRPr="002D255A">
              <w:rPr>
                <w:b/>
                <w:iCs/>
              </w:rPr>
              <w:t xml:space="preserve">Right to a fair trial </w:t>
            </w:r>
          </w:p>
          <w:p w14:paraId="044782BA" w14:textId="77777777" w:rsidR="007E7A4B" w:rsidRPr="0020657E" w:rsidRDefault="007E7A4B" w:rsidP="007E7A4B">
            <w:pPr>
              <w:pStyle w:val="Tabletextleft"/>
              <w:rPr>
                <w:iCs/>
              </w:rPr>
            </w:pPr>
            <w:r w:rsidRPr="0020657E">
              <w:rPr>
                <w:iCs/>
              </w:rPr>
              <w:t>UDHR 10; ICCPR 14</w:t>
            </w:r>
          </w:p>
        </w:tc>
        <w:tc>
          <w:tcPr>
            <w:tcW w:w="1688"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466EC51B" w14:textId="2154163B" w:rsidR="007E7A4B" w:rsidRDefault="007E7A4B" w:rsidP="007E7A4B">
            <w:pPr>
              <w:pStyle w:val="Tabletextleft"/>
            </w:pPr>
            <w:r w:rsidRPr="007E47D5">
              <w:t xml:space="preserve">Unlikely to be relevant </w:t>
            </w:r>
            <w:r>
              <w:t>to a GRMF</w:t>
            </w:r>
            <w:r w:rsidRPr="007E47D5">
              <w:t xml:space="preserve"> Project </w:t>
            </w:r>
          </w:p>
        </w:tc>
        <w:tc>
          <w:tcPr>
            <w:tcW w:w="398"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228C64BE" w14:textId="77777777" w:rsidR="007E7A4B" w:rsidRPr="0020657E" w:rsidRDefault="007E7A4B" w:rsidP="007E7A4B">
            <w:pPr>
              <w:spacing w:before="40" w:after="40"/>
              <w:jc w:val="center"/>
              <w:rPr>
                <w:rFonts w:cs="Arial"/>
              </w:rPr>
            </w:pPr>
          </w:p>
        </w:tc>
        <w:tc>
          <w:tcPr>
            <w:tcW w:w="1753" w:type="pct"/>
            <w:tcBorders>
              <w:left w:val="single" w:sz="2" w:space="0" w:color="FFFFFF" w:themeColor="background1"/>
              <w:bottom w:val="single" w:sz="2" w:space="0" w:color="FFFFFF" w:themeColor="background1"/>
            </w:tcBorders>
            <w:shd w:val="clear" w:color="auto" w:fill="E7E6E6" w:themeFill="background2"/>
          </w:tcPr>
          <w:p w14:paraId="7F018EE2" w14:textId="77777777" w:rsidR="007E7A4B" w:rsidRPr="0020657E" w:rsidRDefault="007E7A4B" w:rsidP="007E7A4B">
            <w:pPr>
              <w:spacing w:before="40" w:after="40"/>
              <w:rPr>
                <w:rFonts w:cs="Arial"/>
              </w:rPr>
            </w:pPr>
          </w:p>
        </w:tc>
      </w:tr>
      <w:tr w:rsidR="007E7A4B" w:rsidRPr="0020657E" w14:paraId="4324B166" w14:textId="77777777" w:rsidTr="00A147B7">
        <w:tc>
          <w:tcPr>
            <w:tcW w:w="207" w:type="pct"/>
            <w:tcBorders>
              <w:top w:val="single" w:sz="2" w:space="0" w:color="FFFFFF" w:themeColor="background1"/>
              <w:right w:val="single" w:sz="2" w:space="0" w:color="FFFFFF" w:themeColor="background1"/>
            </w:tcBorders>
            <w:shd w:val="clear" w:color="auto" w:fill="E7E6E6" w:themeFill="background2"/>
          </w:tcPr>
          <w:p w14:paraId="3E305C88" w14:textId="77777777" w:rsidR="007E7A4B" w:rsidRPr="0020657E" w:rsidRDefault="007E7A4B" w:rsidP="007E7A4B">
            <w:pPr>
              <w:spacing w:before="40" w:after="40"/>
              <w:rPr>
                <w:rFonts w:cs="Arial"/>
              </w:rPr>
            </w:pPr>
            <w:r w:rsidRPr="0020657E">
              <w:rPr>
                <w:rFonts w:cs="Arial"/>
              </w:rPr>
              <w:t>10</w:t>
            </w:r>
          </w:p>
        </w:tc>
        <w:tc>
          <w:tcPr>
            <w:tcW w:w="954"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605AA4D9"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 xml:space="preserve">Right to be free from retroactive criminal law </w:t>
            </w:r>
          </w:p>
          <w:p w14:paraId="1072F1B3"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 xml:space="preserve">UDHR 12 ; ICCPR 15 </w:t>
            </w:r>
          </w:p>
        </w:tc>
        <w:tc>
          <w:tcPr>
            <w:tcW w:w="168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24AF23D7" w14:textId="7B05A45B" w:rsidR="007E7A4B" w:rsidRDefault="007E7A4B" w:rsidP="007E7A4B">
            <w:pPr>
              <w:pStyle w:val="Tabletextleft"/>
            </w:pPr>
            <w:r w:rsidRPr="007E47D5">
              <w:t xml:space="preserve">Unlikely to be relevant </w:t>
            </w:r>
            <w:r>
              <w:t>to a GRMF</w:t>
            </w:r>
            <w:r w:rsidRPr="007E47D5">
              <w:t xml:space="preserve"> Project </w:t>
            </w:r>
          </w:p>
        </w:tc>
        <w:tc>
          <w:tcPr>
            <w:tcW w:w="39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6DFEB157" w14:textId="77777777" w:rsidR="007E7A4B" w:rsidRPr="0020657E" w:rsidRDefault="007E7A4B" w:rsidP="007E7A4B">
            <w:pPr>
              <w:spacing w:before="40" w:after="40"/>
              <w:jc w:val="center"/>
              <w:rPr>
                <w:rFonts w:cs="Arial"/>
              </w:rPr>
            </w:pPr>
          </w:p>
        </w:tc>
        <w:tc>
          <w:tcPr>
            <w:tcW w:w="1753" w:type="pct"/>
            <w:tcBorders>
              <w:top w:val="single" w:sz="2" w:space="0" w:color="FFFFFF" w:themeColor="background1"/>
              <w:left w:val="single" w:sz="2" w:space="0" w:color="FFFFFF" w:themeColor="background1"/>
            </w:tcBorders>
            <w:shd w:val="clear" w:color="auto" w:fill="E7E6E6" w:themeFill="background2"/>
          </w:tcPr>
          <w:p w14:paraId="5EE64652" w14:textId="77777777" w:rsidR="007E7A4B" w:rsidRPr="0020657E" w:rsidRDefault="007E7A4B" w:rsidP="007E7A4B">
            <w:pPr>
              <w:spacing w:before="40" w:after="40"/>
              <w:rPr>
                <w:rFonts w:cs="Arial"/>
              </w:rPr>
            </w:pPr>
          </w:p>
        </w:tc>
      </w:tr>
      <w:tr w:rsidR="007E7A4B" w:rsidRPr="0020657E" w14:paraId="36310BAE" w14:textId="77777777" w:rsidTr="00373C01">
        <w:tc>
          <w:tcPr>
            <w:tcW w:w="207" w:type="pct"/>
          </w:tcPr>
          <w:p w14:paraId="71B66853" w14:textId="77777777" w:rsidR="007E7A4B" w:rsidRPr="0020657E" w:rsidRDefault="007E7A4B" w:rsidP="007E7A4B">
            <w:pPr>
              <w:spacing w:before="40" w:after="40"/>
              <w:rPr>
                <w:rFonts w:cs="Arial"/>
              </w:rPr>
            </w:pPr>
            <w:r w:rsidRPr="0020657E">
              <w:rPr>
                <w:rFonts w:cs="Arial"/>
              </w:rPr>
              <w:t>11</w:t>
            </w:r>
          </w:p>
        </w:tc>
        <w:tc>
          <w:tcPr>
            <w:tcW w:w="954" w:type="pct"/>
          </w:tcPr>
          <w:p w14:paraId="7DCD22EC"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 xml:space="preserve">Right to privacy </w:t>
            </w:r>
          </w:p>
          <w:p w14:paraId="41C1B1CB"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UDHR 12; ICCPR 17</w:t>
            </w:r>
          </w:p>
        </w:tc>
        <w:tc>
          <w:tcPr>
            <w:tcW w:w="1688" w:type="pct"/>
          </w:tcPr>
          <w:p w14:paraId="3ECE8E8A" w14:textId="77777777" w:rsidR="007E7A4B" w:rsidRPr="001807C6" w:rsidRDefault="007E7A4B" w:rsidP="007E7A4B">
            <w:pPr>
              <w:pStyle w:val="Tabletextleft"/>
              <w:rPr>
                <w:rFonts w:cstheme="minorHAnsi"/>
                <w:szCs w:val="18"/>
              </w:rPr>
            </w:pPr>
            <w:r>
              <w:rPr>
                <w:rFonts w:cstheme="minorHAnsi"/>
                <w:szCs w:val="18"/>
              </w:rPr>
              <w:t xml:space="preserve">Do the Project activities have the potential to infringe on the right to privacy of direct employees/workers and/or contractors as well as the neighbouring communities? </w:t>
            </w:r>
          </w:p>
          <w:p w14:paraId="314E0C8D" w14:textId="3725EADD" w:rsidR="007E7A4B" w:rsidRPr="00560ED7" w:rsidRDefault="007E7A4B" w:rsidP="007E7A4B">
            <w:pPr>
              <w:pStyle w:val="Tabletextleft"/>
              <w:rPr>
                <w:rFonts w:cstheme="minorHAnsi"/>
                <w:szCs w:val="18"/>
                <w:u w:val="single"/>
              </w:rPr>
            </w:pPr>
            <w:r w:rsidRPr="00560ED7">
              <w:rPr>
                <w:rFonts w:cstheme="minorHAnsi"/>
                <w:szCs w:val="18"/>
                <w:u w:val="single"/>
              </w:rPr>
              <w:t xml:space="preserve">Sources of potential risks could include: </w:t>
            </w:r>
          </w:p>
          <w:p w14:paraId="1A445D95" w14:textId="56D25BA2" w:rsidR="007E7A4B" w:rsidRPr="00560ED7" w:rsidRDefault="007E7A4B" w:rsidP="007E7A4B">
            <w:pPr>
              <w:pStyle w:val="Tablebullet"/>
            </w:pPr>
            <w:r>
              <w:t>Processes around d</w:t>
            </w:r>
            <w:r w:rsidRPr="00560ED7">
              <w:t xml:space="preserve">ata privacy </w:t>
            </w:r>
          </w:p>
          <w:p w14:paraId="4BC6E73C" w14:textId="671035D4" w:rsidR="007E7A4B" w:rsidRPr="00560ED7" w:rsidRDefault="007E7A4B" w:rsidP="007E7A4B">
            <w:pPr>
              <w:pStyle w:val="Tablebullet"/>
            </w:pPr>
            <w:r w:rsidRPr="00560ED7">
              <w:t>Processes for handling staff and community data</w:t>
            </w:r>
            <w:r>
              <w:t>/information, including contact information, identity data, and other personal details</w:t>
            </w:r>
            <w:r w:rsidRPr="00560ED7">
              <w:t xml:space="preserve"> </w:t>
            </w:r>
          </w:p>
          <w:p w14:paraId="28A1B4ED" w14:textId="77777777" w:rsidR="007E7A4B" w:rsidRPr="00560ED7" w:rsidRDefault="007E7A4B" w:rsidP="007E7A4B">
            <w:pPr>
              <w:pStyle w:val="Tabletextleft"/>
              <w:rPr>
                <w:rFonts w:cstheme="minorHAnsi"/>
                <w:szCs w:val="18"/>
              </w:rPr>
            </w:pPr>
          </w:p>
        </w:tc>
        <w:tc>
          <w:tcPr>
            <w:tcW w:w="398" w:type="pct"/>
          </w:tcPr>
          <w:p w14:paraId="5EA6B08D" w14:textId="77777777" w:rsidR="007E7A4B" w:rsidRPr="0020657E" w:rsidRDefault="007E7A4B" w:rsidP="007E7A4B">
            <w:pPr>
              <w:spacing w:before="40" w:after="40"/>
              <w:jc w:val="center"/>
              <w:rPr>
                <w:rFonts w:cs="Arial"/>
              </w:rPr>
            </w:pPr>
          </w:p>
        </w:tc>
        <w:tc>
          <w:tcPr>
            <w:tcW w:w="1753" w:type="pct"/>
          </w:tcPr>
          <w:p w14:paraId="3BD003DD" w14:textId="77777777" w:rsidR="007E7A4B" w:rsidRPr="0020657E" w:rsidRDefault="007E7A4B" w:rsidP="007E7A4B">
            <w:pPr>
              <w:spacing w:before="40" w:after="40"/>
              <w:rPr>
                <w:rFonts w:cs="Arial"/>
              </w:rPr>
            </w:pPr>
          </w:p>
        </w:tc>
      </w:tr>
      <w:tr w:rsidR="007E7A4B" w:rsidRPr="0020657E" w14:paraId="7B3030E1" w14:textId="77777777" w:rsidTr="00A147B7">
        <w:tc>
          <w:tcPr>
            <w:tcW w:w="207" w:type="pct"/>
            <w:tcBorders>
              <w:bottom w:val="single" w:sz="2" w:space="0" w:color="E7E6E6" w:themeColor="background2"/>
            </w:tcBorders>
          </w:tcPr>
          <w:p w14:paraId="1299D640" w14:textId="77777777" w:rsidR="007E7A4B" w:rsidRPr="0020657E" w:rsidRDefault="007E7A4B" w:rsidP="007E7A4B">
            <w:pPr>
              <w:spacing w:before="40" w:after="40"/>
              <w:rPr>
                <w:rFonts w:cs="Arial"/>
              </w:rPr>
            </w:pPr>
            <w:r w:rsidRPr="0020657E">
              <w:rPr>
                <w:rFonts w:cs="Arial"/>
              </w:rPr>
              <w:t>12</w:t>
            </w:r>
          </w:p>
        </w:tc>
        <w:tc>
          <w:tcPr>
            <w:tcW w:w="954" w:type="pct"/>
            <w:tcBorders>
              <w:bottom w:val="single" w:sz="2" w:space="0" w:color="E7E6E6" w:themeColor="background2"/>
            </w:tcBorders>
          </w:tcPr>
          <w:p w14:paraId="32BD0608"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Right to freedom of movement and residence</w:t>
            </w:r>
          </w:p>
          <w:p w14:paraId="189D1DE7"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UDHR 13; ICCPR 12</w:t>
            </w:r>
          </w:p>
        </w:tc>
        <w:tc>
          <w:tcPr>
            <w:tcW w:w="1688" w:type="pct"/>
            <w:tcBorders>
              <w:bottom w:val="single" w:sz="2" w:space="0" w:color="E7E6E6" w:themeColor="background2"/>
            </w:tcBorders>
          </w:tcPr>
          <w:p w14:paraId="5E90D4D9" w14:textId="77777777" w:rsidR="007E7A4B" w:rsidRPr="001807C6" w:rsidRDefault="007E7A4B" w:rsidP="007E7A4B">
            <w:pPr>
              <w:pStyle w:val="Tabletextleft"/>
              <w:rPr>
                <w:rFonts w:cstheme="minorHAnsi"/>
                <w:szCs w:val="18"/>
                <w:u w:val="single"/>
              </w:rPr>
            </w:pPr>
            <w:r w:rsidRPr="001807C6">
              <w:rPr>
                <w:rFonts w:cstheme="minorHAnsi"/>
                <w:szCs w:val="18"/>
              </w:rPr>
              <w:t>Freedom of movement encompasses the right of individuals to travel from place to place a given country and also to leave the country and freely return to it. The right includes not only visiting places, but changing the place where the individual resides in or works at.</w:t>
            </w:r>
          </w:p>
          <w:p w14:paraId="75426FEE" w14:textId="77777777" w:rsidR="007E7A4B" w:rsidRPr="001807C6" w:rsidRDefault="007E7A4B" w:rsidP="007E7A4B">
            <w:pPr>
              <w:pStyle w:val="Tabletextleft"/>
              <w:rPr>
                <w:rFonts w:cstheme="minorHAnsi"/>
                <w:szCs w:val="18"/>
                <w:u w:val="single"/>
              </w:rPr>
            </w:pPr>
            <w:r>
              <w:rPr>
                <w:rFonts w:cstheme="minorHAnsi"/>
                <w:szCs w:val="18"/>
                <w:u w:val="single"/>
              </w:rPr>
              <w:t>Sources of pot</w:t>
            </w:r>
            <w:r w:rsidRPr="001807C6">
              <w:rPr>
                <w:rFonts w:cstheme="minorHAnsi"/>
                <w:szCs w:val="18"/>
                <w:u w:val="single"/>
              </w:rPr>
              <w:t xml:space="preserve">ential risks could include: </w:t>
            </w:r>
            <w:bookmarkStart w:id="0" w:name="_GoBack"/>
            <w:bookmarkEnd w:id="0"/>
          </w:p>
          <w:p w14:paraId="10CCFB45" w14:textId="77777777" w:rsidR="007E7A4B" w:rsidRDefault="007E7A4B" w:rsidP="007E7A4B">
            <w:pPr>
              <w:pStyle w:val="Tablebullet"/>
            </w:pPr>
            <w:r>
              <w:t>F</w:t>
            </w:r>
            <w:r w:rsidRPr="001807C6">
              <w:t>orced evictions of families and/or communities from the homes and/ or land which they occupy</w:t>
            </w:r>
          </w:p>
          <w:p w14:paraId="22D038A5" w14:textId="77777777" w:rsidR="007E7A4B" w:rsidRPr="001807C6" w:rsidRDefault="007E7A4B" w:rsidP="007E7A4B">
            <w:pPr>
              <w:pStyle w:val="Tablebullet"/>
            </w:pPr>
            <w:r>
              <w:t xml:space="preserve">Involuntary resettlement due to Project activities </w:t>
            </w:r>
          </w:p>
        </w:tc>
        <w:tc>
          <w:tcPr>
            <w:tcW w:w="398" w:type="pct"/>
            <w:tcBorders>
              <w:bottom w:val="single" w:sz="2" w:space="0" w:color="E7E6E6" w:themeColor="background2"/>
            </w:tcBorders>
          </w:tcPr>
          <w:p w14:paraId="2919DCB9" w14:textId="77777777" w:rsidR="007E7A4B" w:rsidRPr="0020657E" w:rsidRDefault="007E7A4B" w:rsidP="007E7A4B">
            <w:pPr>
              <w:spacing w:before="40" w:after="40"/>
              <w:jc w:val="center"/>
              <w:rPr>
                <w:rFonts w:cs="Arial"/>
              </w:rPr>
            </w:pPr>
          </w:p>
        </w:tc>
        <w:tc>
          <w:tcPr>
            <w:tcW w:w="1753" w:type="pct"/>
            <w:tcBorders>
              <w:bottom w:val="single" w:sz="2" w:space="0" w:color="E7E6E6" w:themeColor="background2"/>
            </w:tcBorders>
          </w:tcPr>
          <w:p w14:paraId="60356352" w14:textId="77777777" w:rsidR="007E7A4B" w:rsidRPr="0020657E" w:rsidRDefault="007E7A4B" w:rsidP="007E7A4B">
            <w:pPr>
              <w:spacing w:before="40" w:after="40"/>
              <w:rPr>
                <w:rFonts w:cs="Arial"/>
              </w:rPr>
            </w:pPr>
          </w:p>
        </w:tc>
      </w:tr>
      <w:tr w:rsidR="007E7A4B" w:rsidRPr="0020657E" w14:paraId="7611EE34" w14:textId="77777777" w:rsidTr="00A147B7">
        <w:tc>
          <w:tcPr>
            <w:tcW w:w="207" w:type="pct"/>
            <w:tcBorders>
              <w:bottom w:val="single" w:sz="2" w:space="0" w:color="FFFFFF" w:themeColor="background1"/>
              <w:right w:val="single" w:sz="2" w:space="0" w:color="FFFFFF" w:themeColor="background1"/>
            </w:tcBorders>
            <w:shd w:val="clear" w:color="auto" w:fill="E7E6E6" w:themeFill="background2"/>
          </w:tcPr>
          <w:p w14:paraId="02D01DC1" w14:textId="77777777" w:rsidR="007E7A4B" w:rsidRPr="0020657E" w:rsidRDefault="007E7A4B" w:rsidP="007E7A4B">
            <w:pPr>
              <w:spacing w:before="40" w:after="40"/>
              <w:rPr>
                <w:rFonts w:cs="Arial"/>
              </w:rPr>
            </w:pPr>
            <w:r w:rsidRPr="0020657E">
              <w:rPr>
                <w:rFonts w:cs="Arial"/>
              </w:rPr>
              <w:t>13</w:t>
            </w:r>
          </w:p>
        </w:tc>
        <w:tc>
          <w:tcPr>
            <w:tcW w:w="954"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05122BE4"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 xml:space="preserve">Right to seek asylum from persecution in other countries </w:t>
            </w:r>
          </w:p>
          <w:p w14:paraId="252A74D7"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UDHR 14</w:t>
            </w:r>
          </w:p>
        </w:tc>
        <w:tc>
          <w:tcPr>
            <w:tcW w:w="1688"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68D1309D" w14:textId="54586BA1" w:rsidR="007E7A4B" w:rsidRPr="00B5474E" w:rsidRDefault="007E7A4B" w:rsidP="007E7A4B">
            <w:pPr>
              <w:pStyle w:val="Tabletextleft"/>
              <w:rPr>
                <w:rFonts w:cstheme="minorHAnsi"/>
                <w:szCs w:val="18"/>
              </w:rPr>
            </w:pPr>
            <w:r w:rsidRPr="007E47D5">
              <w:t xml:space="preserve">Unlikely to be relevant </w:t>
            </w:r>
            <w:r>
              <w:t>to a GRMF</w:t>
            </w:r>
            <w:r w:rsidRPr="007E47D5">
              <w:t xml:space="preserve"> Project </w:t>
            </w:r>
          </w:p>
        </w:tc>
        <w:tc>
          <w:tcPr>
            <w:tcW w:w="398" w:type="pct"/>
            <w:tcBorders>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3C42E3CB" w14:textId="77777777" w:rsidR="007E7A4B" w:rsidRPr="0020657E" w:rsidRDefault="007E7A4B" w:rsidP="007E7A4B">
            <w:pPr>
              <w:spacing w:before="40" w:after="40"/>
              <w:jc w:val="center"/>
              <w:rPr>
                <w:rFonts w:cs="Arial"/>
              </w:rPr>
            </w:pPr>
          </w:p>
        </w:tc>
        <w:tc>
          <w:tcPr>
            <w:tcW w:w="1753" w:type="pct"/>
            <w:tcBorders>
              <w:left w:val="single" w:sz="2" w:space="0" w:color="FFFFFF" w:themeColor="background1"/>
              <w:bottom w:val="single" w:sz="2" w:space="0" w:color="FFFFFF" w:themeColor="background1"/>
            </w:tcBorders>
            <w:shd w:val="clear" w:color="auto" w:fill="E7E6E6" w:themeFill="background2"/>
          </w:tcPr>
          <w:p w14:paraId="6D29C25A" w14:textId="77777777" w:rsidR="007E7A4B" w:rsidRPr="0020657E" w:rsidRDefault="007E7A4B" w:rsidP="007E7A4B">
            <w:pPr>
              <w:spacing w:before="40" w:after="40"/>
              <w:rPr>
                <w:rFonts w:cs="Arial"/>
              </w:rPr>
            </w:pPr>
          </w:p>
        </w:tc>
      </w:tr>
      <w:tr w:rsidR="007E7A4B" w:rsidRPr="0020657E" w14:paraId="1DFB1042" w14:textId="77777777" w:rsidTr="00A147B7">
        <w:tc>
          <w:tcPr>
            <w:tcW w:w="207" w:type="pct"/>
            <w:tcBorders>
              <w:top w:val="single" w:sz="2" w:space="0" w:color="FFFFFF" w:themeColor="background1"/>
              <w:right w:val="single" w:sz="2" w:space="0" w:color="FFFFFF" w:themeColor="background1"/>
            </w:tcBorders>
            <w:shd w:val="clear" w:color="auto" w:fill="E7E6E6" w:themeFill="background2"/>
          </w:tcPr>
          <w:p w14:paraId="28EC364E" w14:textId="77777777" w:rsidR="007E7A4B" w:rsidRPr="0020657E" w:rsidRDefault="007E7A4B" w:rsidP="007E7A4B">
            <w:pPr>
              <w:spacing w:before="40" w:after="40"/>
              <w:rPr>
                <w:rFonts w:cs="Arial"/>
              </w:rPr>
            </w:pPr>
            <w:r w:rsidRPr="0020657E">
              <w:rPr>
                <w:rFonts w:cs="Arial"/>
              </w:rPr>
              <w:t>14</w:t>
            </w:r>
          </w:p>
        </w:tc>
        <w:tc>
          <w:tcPr>
            <w:tcW w:w="954"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08EC1A18"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 xml:space="preserve">Right to have a nationality </w:t>
            </w:r>
          </w:p>
          <w:p w14:paraId="64B1B055" w14:textId="77777777" w:rsidR="007E7A4B" w:rsidRPr="001807C6" w:rsidRDefault="007E7A4B" w:rsidP="007E7A4B">
            <w:pPr>
              <w:spacing w:before="40" w:after="40"/>
              <w:rPr>
                <w:rFonts w:cstheme="minorHAnsi"/>
                <w:iCs/>
                <w:sz w:val="18"/>
                <w:szCs w:val="18"/>
              </w:rPr>
            </w:pPr>
            <w:r w:rsidRPr="001807C6">
              <w:rPr>
                <w:rFonts w:cstheme="minorHAnsi"/>
                <w:iCs/>
                <w:sz w:val="18"/>
                <w:szCs w:val="18"/>
              </w:rPr>
              <w:lastRenderedPageBreak/>
              <w:t>UDHR 15</w:t>
            </w:r>
          </w:p>
        </w:tc>
        <w:tc>
          <w:tcPr>
            <w:tcW w:w="168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0FC68DC4" w14:textId="5266E0B6" w:rsidR="007E7A4B" w:rsidRPr="00F671D7" w:rsidRDefault="007E7A4B" w:rsidP="007E7A4B">
            <w:pPr>
              <w:pStyle w:val="Tabletextleft"/>
              <w:rPr>
                <w:rFonts w:cstheme="minorHAnsi"/>
                <w:szCs w:val="18"/>
                <w:u w:val="single"/>
              </w:rPr>
            </w:pPr>
            <w:r w:rsidRPr="007E47D5">
              <w:lastRenderedPageBreak/>
              <w:t xml:space="preserve">Unlikely to be relevant </w:t>
            </w:r>
            <w:r>
              <w:t>to a GRMF</w:t>
            </w:r>
            <w:r w:rsidRPr="007E47D5">
              <w:t xml:space="preserve"> Project </w:t>
            </w:r>
          </w:p>
        </w:tc>
        <w:tc>
          <w:tcPr>
            <w:tcW w:w="39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4F39465C" w14:textId="77777777" w:rsidR="007E7A4B" w:rsidRPr="0020657E" w:rsidRDefault="007E7A4B" w:rsidP="007E7A4B">
            <w:pPr>
              <w:spacing w:before="40" w:after="40"/>
              <w:jc w:val="center"/>
              <w:rPr>
                <w:rFonts w:cs="Arial"/>
              </w:rPr>
            </w:pPr>
          </w:p>
        </w:tc>
        <w:tc>
          <w:tcPr>
            <w:tcW w:w="1753" w:type="pct"/>
            <w:tcBorders>
              <w:top w:val="single" w:sz="2" w:space="0" w:color="FFFFFF" w:themeColor="background1"/>
              <w:left w:val="single" w:sz="2" w:space="0" w:color="FFFFFF" w:themeColor="background1"/>
            </w:tcBorders>
            <w:shd w:val="clear" w:color="auto" w:fill="E7E6E6" w:themeFill="background2"/>
          </w:tcPr>
          <w:p w14:paraId="634D0D10" w14:textId="77777777" w:rsidR="007E7A4B" w:rsidRPr="0020657E" w:rsidRDefault="007E7A4B" w:rsidP="007E7A4B">
            <w:pPr>
              <w:spacing w:before="40" w:after="40"/>
              <w:rPr>
                <w:rFonts w:cs="Arial"/>
              </w:rPr>
            </w:pPr>
          </w:p>
        </w:tc>
      </w:tr>
      <w:tr w:rsidR="007E7A4B" w:rsidRPr="0020657E" w14:paraId="29DA45C1" w14:textId="77777777" w:rsidTr="00373C01">
        <w:tc>
          <w:tcPr>
            <w:tcW w:w="207" w:type="pct"/>
          </w:tcPr>
          <w:p w14:paraId="43AB679A" w14:textId="77777777" w:rsidR="007E7A4B" w:rsidRPr="0020657E" w:rsidRDefault="007E7A4B" w:rsidP="007E7A4B">
            <w:pPr>
              <w:spacing w:before="40" w:after="40"/>
              <w:rPr>
                <w:rFonts w:cs="Arial"/>
              </w:rPr>
            </w:pPr>
            <w:r w:rsidRPr="0020657E">
              <w:rPr>
                <w:rFonts w:cs="Arial"/>
              </w:rPr>
              <w:t>15</w:t>
            </w:r>
          </w:p>
        </w:tc>
        <w:tc>
          <w:tcPr>
            <w:tcW w:w="954" w:type="pct"/>
          </w:tcPr>
          <w:p w14:paraId="21B25E8E"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Right to adequate standard of living</w:t>
            </w:r>
          </w:p>
          <w:p w14:paraId="52E23EBC"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UDHR 25; ICCPR 24; ILO No.182</w:t>
            </w:r>
          </w:p>
        </w:tc>
        <w:tc>
          <w:tcPr>
            <w:tcW w:w="1688" w:type="pct"/>
          </w:tcPr>
          <w:p w14:paraId="4C8D8145" w14:textId="77777777" w:rsidR="007E7A4B" w:rsidRPr="001807C6" w:rsidRDefault="007E7A4B" w:rsidP="007E7A4B">
            <w:pPr>
              <w:pStyle w:val="Tabletextleft"/>
              <w:rPr>
                <w:rFonts w:cstheme="minorHAnsi"/>
                <w:szCs w:val="18"/>
              </w:rPr>
            </w:pPr>
            <w:r>
              <w:rPr>
                <w:rFonts w:cstheme="minorHAnsi"/>
                <w:szCs w:val="18"/>
              </w:rPr>
              <w:t xml:space="preserve">Do the Project/related activities and its contractors/ suppliers infringe on the right to an adequate standard of living by direct employees and/or communities in the Project Area of Influence?  </w:t>
            </w:r>
          </w:p>
          <w:p w14:paraId="6BA51F23" w14:textId="77777777" w:rsidR="007E7A4B" w:rsidRPr="001807C6" w:rsidRDefault="007E7A4B" w:rsidP="007E7A4B">
            <w:pPr>
              <w:pStyle w:val="Tabletextleft"/>
              <w:rPr>
                <w:rFonts w:cstheme="minorHAnsi"/>
                <w:szCs w:val="18"/>
                <w:u w:val="single"/>
              </w:rPr>
            </w:pPr>
            <w:r w:rsidRPr="001807C6">
              <w:rPr>
                <w:rFonts w:cstheme="minorHAnsi"/>
                <w:szCs w:val="18"/>
                <w:u w:val="single"/>
              </w:rPr>
              <w:t xml:space="preserve">Sources of potential risks could include: </w:t>
            </w:r>
          </w:p>
          <w:p w14:paraId="38A87135" w14:textId="77777777" w:rsidR="007E7A4B" w:rsidRPr="001807C6" w:rsidRDefault="007E7A4B" w:rsidP="007E7A4B">
            <w:pPr>
              <w:pStyle w:val="Tablebullet"/>
            </w:pPr>
            <w:r w:rsidRPr="001807C6">
              <w:t>Forced evictions, involuntary resettlement due to the Project activities</w:t>
            </w:r>
          </w:p>
          <w:p w14:paraId="310BE2E2" w14:textId="77777777" w:rsidR="007E7A4B" w:rsidRPr="001807C6" w:rsidRDefault="007E7A4B" w:rsidP="007E7A4B">
            <w:pPr>
              <w:pStyle w:val="Tablebullet"/>
            </w:pPr>
            <w:r w:rsidRPr="00560ED7">
              <w:t>Potential</w:t>
            </w:r>
            <w:r w:rsidRPr="001807C6">
              <w:t xml:space="preserve"> high influx of workers during certain Project phases can lead to increased prices in the community </w:t>
            </w:r>
          </w:p>
          <w:p w14:paraId="300BCFC5" w14:textId="77777777" w:rsidR="007E7A4B" w:rsidRDefault="007E7A4B" w:rsidP="007E7A4B">
            <w:pPr>
              <w:pStyle w:val="Tablebullet"/>
            </w:pPr>
            <w:r w:rsidRPr="001807C6">
              <w:t>Environmental related issues (e.g. spills, soil and water contamination) posing hazards to local communities and threats to the key tenets of adequate standards of living (e.g. access to water, adequate nutrition)</w:t>
            </w:r>
          </w:p>
          <w:p w14:paraId="48EFCA1F" w14:textId="77777777" w:rsidR="007E7A4B" w:rsidRPr="007E7A4B" w:rsidRDefault="007E7A4B" w:rsidP="007E7A4B">
            <w:pPr>
              <w:pStyle w:val="Tablebullet"/>
              <w:rPr>
                <w:rStyle w:val="A2"/>
                <w:rFonts w:cstheme="minorBidi"/>
                <w:color w:val="auto"/>
                <w:szCs w:val="20"/>
                <w:lang w:val="en-US"/>
              </w:rPr>
            </w:pPr>
            <w:r w:rsidRPr="00CB0489">
              <w:rPr>
                <w:rStyle w:val="A2"/>
                <w:bCs/>
                <w:lang w:val="en-US"/>
              </w:rPr>
              <w:t>Government security / police force approach to workforce / affected community protests</w:t>
            </w:r>
          </w:p>
          <w:p w14:paraId="502E7FF9" w14:textId="33874D36" w:rsidR="007E7A4B" w:rsidRPr="00B5474E" w:rsidRDefault="007E7A4B" w:rsidP="007E7A4B">
            <w:pPr>
              <w:pStyle w:val="Tablebullet"/>
              <w:rPr>
                <w:lang w:val="en-US"/>
              </w:rPr>
            </w:pPr>
            <w:r>
              <w:rPr>
                <w:rStyle w:val="A2"/>
                <w:bCs/>
                <w:lang w:val="en-US"/>
              </w:rPr>
              <w:t>Standard of living / accommodations provided for workers (including contract workers)</w:t>
            </w:r>
          </w:p>
        </w:tc>
        <w:tc>
          <w:tcPr>
            <w:tcW w:w="398" w:type="pct"/>
          </w:tcPr>
          <w:p w14:paraId="22F05145" w14:textId="77777777" w:rsidR="007E7A4B" w:rsidRPr="0020657E" w:rsidRDefault="007E7A4B" w:rsidP="007E7A4B">
            <w:pPr>
              <w:spacing w:before="40" w:after="40"/>
              <w:rPr>
                <w:rFonts w:cs="Arial"/>
              </w:rPr>
            </w:pPr>
          </w:p>
        </w:tc>
        <w:tc>
          <w:tcPr>
            <w:tcW w:w="1753" w:type="pct"/>
          </w:tcPr>
          <w:p w14:paraId="786A876C" w14:textId="77777777" w:rsidR="007E7A4B" w:rsidRPr="0020657E" w:rsidRDefault="007E7A4B" w:rsidP="007E7A4B">
            <w:pPr>
              <w:spacing w:before="40" w:after="40"/>
              <w:rPr>
                <w:rFonts w:cs="Arial"/>
              </w:rPr>
            </w:pPr>
          </w:p>
        </w:tc>
      </w:tr>
      <w:tr w:rsidR="007E7A4B" w:rsidRPr="0020657E" w14:paraId="3772EA2E" w14:textId="77777777" w:rsidTr="00373C01">
        <w:tc>
          <w:tcPr>
            <w:tcW w:w="207" w:type="pct"/>
          </w:tcPr>
          <w:p w14:paraId="35B2B8FB" w14:textId="77777777" w:rsidR="007E7A4B" w:rsidRPr="0020657E" w:rsidRDefault="007E7A4B" w:rsidP="007E7A4B">
            <w:pPr>
              <w:spacing w:before="40" w:after="40"/>
              <w:rPr>
                <w:rFonts w:cs="Arial"/>
              </w:rPr>
            </w:pPr>
            <w:r w:rsidRPr="0020657E">
              <w:rPr>
                <w:rFonts w:cs="Arial"/>
              </w:rPr>
              <w:t>16</w:t>
            </w:r>
          </w:p>
        </w:tc>
        <w:tc>
          <w:tcPr>
            <w:tcW w:w="954" w:type="pct"/>
          </w:tcPr>
          <w:p w14:paraId="246F540B" w14:textId="77777777" w:rsidR="007E7A4B" w:rsidRPr="001807C6" w:rsidRDefault="007E7A4B" w:rsidP="007E7A4B">
            <w:pPr>
              <w:spacing w:before="40" w:after="40"/>
              <w:rPr>
                <w:rFonts w:cstheme="minorHAnsi"/>
                <w:b/>
                <w:iCs/>
                <w:sz w:val="18"/>
                <w:szCs w:val="18"/>
              </w:rPr>
            </w:pPr>
            <w:r w:rsidRPr="001807C6">
              <w:rPr>
                <w:rFonts w:cstheme="minorHAnsi"/>
                <w:b/>
                <w:iCs/>
                <w:sz w:val="18"/>
                <w:szCs w:val="18"/>
              </w:rPr>
              <w:t>Right of protection for the child and mothers</w:t>
            </w:r>
          </w:p>
          <w:p w14:paraId="5DF8022F" w14:textId="77777777" w:rsidR="007E7A4B" w:rsidRPr="001807C6" w:rsidRDefault="007E7A4B" w:rsidP="007E7A4B">
            <w:pPr>
              <w:spacing w:before="40" w:after="40"/>
              <w:rPr>
                <w:rFonts w:cstheme="minorHAnsi"/>
                <w:iCs/>
                <w:sz w:val="18"/>
                <w:szCs w:val="18"/>
              </w:rPr>
            </w:pPr>
            <w:r w:rsidRPr="001807C6">
              <w:rPr>
                <w:rFonts w:cstheme="minorHAnsi"/>
                <w:iCs/>
                <w:sz w:val="18"/>
                <w:szCs w:val="18"/>
              </w:rPr>
              <w:t>UDHR 25; ICCPR 24; ILO No.182</w:t>
            </w:r>
          </w:p>
        </w:tc>
        <w:tc>
          <w:tcPr>
            <w:tcW w:w="1688" w:type="pct"/>
          </w:tcPr>
          <w:p w14:paraId="0E78BD43" w14:textId="77777777" w:rsidR="007E7A4B" w:rsidRPr="001807C6" w:rsidRDefault="007E7A4B" w:rsidP="007E7A4B">
            <w:pPr>
              <w:pStyle w:val="Tabletextleft"/>
              <w:rPr>
                <w:rFonts w:cstheme="minorHAnsi"/>
                <w:szCs w:val="18"/>
              </w:rPr>
            </w:pPr>
            <w:r w:rsidRPr="001807C6">
              <w:rPr>
                <w:rFonts w:cstheme="minorHAnsi"/>
                <w:szCs w:val="18"/>
              </w:rPr>
              <w:t xml:space="preserve">Can the Project </w:t>
            </w:r>
            <w:r>
              <w:rPr>
                <w:rFonts w:cstheme="minorHAnsi"/>
                <w:szCs w:val="18"/>
              </w:rPr>
              <w:t>and related activities infringe on the rights of a child?</w:t>
            </w:r>
          </w:p>
          <w:p w14:paraId="03D8614A" w14:textId="77777777" w:rsidR="007E7A4B" w:rsidRDefault="007E7A4B" w:rsidP="007E7A4B">
            <w:pPr>
              <w:pStyle w:val="Tabletextleft"/>
              <w:rPr>
                <w:rFonts w:cstheme="minorHAnsi"/>
                <w:szCs w:val="18"/>
                <w:u w:val="single"/>
              </w:rPr>
            </w:pPr>
            <w:r w:rsidRPr="001807C6">
              <w:rPr>
                <w:rFonts w:cstheme="minorHAnsi"/>
                <w:szCs w:val="18"/>
                <w:u w:val="single"/>
              </w:rPr>
              <w:t>Sources of potential</w:t>
            </w:r>
            <w:r>
              <w:rPr>
                <w:rFonts w:cstheme="minorHAnsi"/>
                <w:szCs w:val="18"/>
                <w:u w:val="single"/>
              </w:rPr>
              <w:t xml:space="preserve"> risks could include: </w:t>
            </w:r>
          </w:p>
          <w:p w14:paraId="4901744D" w14:textId="74BB8E0F" w:rsidR="007E7A4B" w:rsidRPr="008334F7" w:rsidRDefault="007E7A4B" w:rsidP="007E7A4B">
            <w:pPr>
              <w:pStyle w:val="Tablebullet"/>
            </w:pPr>
            <w:r>
              <w:t>Child labour in sub-contractors/supply-chain</w:t>
            </w:r>
          </w:p>
        </w:tc>
        <w:tc>
          <w:tcPr>
            <w:tcW w:w="398" w:type="pct"/>
          </w:tcPr>
          <w:p w14:paraId="57D79A51" w14:textId="77777777" w:rsidR="007E7A4B" w:rsidRPr="0020657E" w:rsidRDefault="007E7A4B" w:rsidP="007E7A4B">
            <w:pPr>
              <w:spacing w:before="40" w:after="40"/>
              <w:jc w:val="center"/>
              <w:rPr>
                <w:rFonts w:cs="Arial"/>
              </w:rPr>
            </w:pPr>
          </w:p>
        </w:tc>
        <w:tc>
          <w:tcPr>
            <w:tcW w:w="1753" w:type="pct"/>
          </w:tcPr>
          <w:p w14:paraId="0548084B" w14:textId="77777777" w:rsidR="007E7A4B" w:rsidRPr="0020657E" w:rsidRDefault="007E7A4B" w:rsidP="007E7A4B">
            <w:pPr>
              <w:spacing w:before="40" w:after="40"/>
              <w:rPr>
                <w:rFonts w:cs="Arial"/>
              </w:rPr>
            </w:pPr>
          </w:p>
        </w:tc>
      </w:tr>
      <w:tr w:rsidR="00ED02AC" w:rsidRPr="0020657E" w14:paraId="0E45B9B6" w14:textId="77777777" w:rsidTr="00373C01">
        <w:tc>
          <w:tcPr>
            <w:tcW w:w="207" w:type="pct"/>
            <w:shd w:val="clear" w:color="auto" w:fill="E7E6E6" w:themeFill="background2"/>
          </w:tcPr>
          <w:p w14:paraId="4E8EC4BF" w14:textId="77777777" w:rsidR="00ED02AC" w:rsidRPr="0020657E" w:rsidRDefault="00ED02AC" w:rsidP="00ED02AC">
            <w:pPr>
              <w:spacing w:before="40" w:after="40"/>
              <w:rPr>
                <w:rFonts w:cs="Arial"/>
              </w:rPr>
            </w:pPr>
            <w:r w:rsidRPr="0020657E">
              <w:rPr>
                <w:rFonts w:cs="Arial"/>
              </w:rPr>
              <w:t>17</w:t>
            </w:r>
          </w:p>
        </w:tc>
        <w:tc>
          <w:tcPr>
            <w:tcW w:w="954" w:type="pct"/>
            <w:shd w:val="clear" w:color="auto" w:fill="E7E6E6" w:themeFill="background2"/>
          </w:tcPr>
          <w:p w14:paraId="561EABA7"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 xml:space="preserve">Right to marry and form a family </w:t>
            </w:r>
          </w:p>
          <w:p w14:paraId="71ABFE75"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16; ICCPR 23; ICESCR 10</w:t>
            </w:r>
          </w:p>
        </w:tc>
        <w:tc>
          <w:tcPr>
            <w:tcW w:w="1688" w:type="pct"/>
            <w:shd w:val="clear" w:color="auto" w:fill="E7E6E6" w:themeFill="background2"/>
          </w:tcPr>
          <w:p w14:paraId="35A7597A" w14:textId="2F32C067" w:rsidR="00ED02AC" w:rsidRPr="001807C6" w:rsidRDefault="00ED02AC" w:rsidP="00ED02AC">
            <w:pPr>
              <w:pStyle w:val="Tabletextleft"/>
              <w:rPr>
                <w:rFonts w:cstheme="minorHAnsi"/>
                <w:szCs w:val="18"/>
              </w:rPr>
            </w:pPr>
            <w:r w:rsidRPr="007E47D5">
              <w:t xml:space="preserve">Unlikely to be relevant </w:t>
            </w:r>
            <w:r>
              <w:t>to a GRMF</w:t>
            </w:r>
            <w:r w:rsidRPr="007E47D5">
              <w:t xml:space="preserve"> Project </w:t>
            </w:r>
          </w:p>
        </w:tc>
        <w:tc>
          <w:tcPr>
            <w:tcW w:w="398" w:type="pct"/>
            <w:shd w:val="clear" w:color="auto" w:fill="E7E6E6" w:themeFill="background2"/>
          </w:tcPr>
          <w:p w14:paraId="7020665F" w14:textId="77777777" w:rsidR="00ED02AC" w:rsidRPr="0020657E" w:rsidRDefault="00ED02AC" w:rsidP="00ED02AC">
            <w:pPr>
              <w:spacing w:before="40" w:after="40"/>
              <w:jc w:val="center"/>
              <w:rPr>
                <w:rFonts w:cs="Arial"/>
              </w:rPr>
            </w:pPr>
          </w:p>
        </w:tc>
        <w:tc>
          <w:tcPr>
            <w:tcW w:w="1753" w:type="pct"/>
            <w:shd w:val="clear" w:color="auto" w:fill="E7E6E6" w:themeFill="background2"/>
          </w:tcPr>
          <w:p w14:paraId="26044E8A" w14:textId="77777777" w:rsidR="00ED02AC" w:rsidRPr="0020657E" w:rsidRDefault="00ED02AC" w:rsidP="00ED02AC">
            <w:pPr>
              <w:spacing w:before="40" w:after="40"/>
              <w:rPr>
                <w:rFonts w:cs="Arial"/>
              </w:rPr>
            </w:pPr>
          </w:p>
        </w:tc>
      </w:tr>
      <w:tr w:rsidR="00ED02AC" w:rsidRPr="0020657E" w14:paraId="5F9EF201" w14:textId="77777777" w:rsidTr="00373C01">
        <w:tc>
          <w:tcPr>
            <w:tcW w:w="207" w:type="pct"/>
          </w:tcPr>
          <w:p w14:paraId="23F229BA" w14:textId="77777777" w:rsidR="00ED02AC" w:rsidRPr="0020657E" w:rsidRDefault="00ED02AC" w:rsidP="00ED02AC">
            <w:pPr>
              <w:spacing w:before="40" w:after="40"/>
              <w:rPr>
                <w:rFonts w:cs="Arial"/>
              </w:rPr>
            </w:pPr>
            <w:r w:rsidRPr="0020657E">
              <w:rPr>
                <w:rFonts w:cs="Arial"/>
              </w:rPr>
              <w:t>18</w:t>
            </w:r>
          </w:p>
        </w:tc>
        <w:tc>
          <w:tcPr>
            <w:tcW w:w="954" w:type="pct"/>
          </w:tcPr>
          <w:p w14:paraId="1C37774D"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 xml:space="preserve">Right to own property </w:t>
            </w:r>
          </w:p>
          <w:p w14:paraId="16E87754"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17; ICESCR 15</w:t>
            </w:r>
          </w:p>
        </w:tc>
        <w:tc>
          <w:tcPr>
            <w:tcW w:w="1688" w:type="pct"/>
          </w:tcPr>
          <w:p w14:paraId="6F368763" w14:textId="77777777" w:rsidR="00ED02AC" w:rsidRPr="00B5474E" w:rsidRDefault="00ED02AC" w:rsidP="00ED02AC">
            <w:pPr>
              <w:pStyle w:val="Tabletextleft"/>
              <w:rPr>
                <w:rFonts w:cstheme="minorHAnsi"/>
                <w:szCs w:val="18"/>
              </w:rPr>
            </w:pPr>
            <w:r>
              <w:rPr>
                <w:rFonts w:cstheme="minorHAnsi"/>
                <w:szCs w:val="18"/>
              </w:rPr>
              <w:t xml:space="preserve">Do the Project and its related activities infringe on individual’s rights to own property </w:t>
            </w:r>
          </w:p>
          <w:p w14:paraId="19F4D1CF"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6021BAF4" w14:textId="00628370" w:rsidR="00ED02AC" w:rsidRPr="001807C6" w:rsidRDefault="00ED02AC" w:rsidP="00ED02AC">
            <w:pPr>
              <w:pStyle w:val="Tablebullet"/>
            </w:pPr>
            <w:r w:rsidRPr="001807C6">
              <w:t xml:space="preserve">Forced evictions, </w:t>
            </w:r>
            <w:r>
              <w:t xml:space="preserve">land-take and </w:t>
            </w:r>
            <w:r w:rsidRPr="001807C6">
              <w:t>involuntary resettlement due to the Project activities</w:t>
            </w:r>
          </w:p>
          <w:p w14:paraId="090E0ACB" w14:textId="77777777" w:rsidR="00ED02AC" w:rsidRPr="001807C6" w:rsidRDefault="00ED02AC" w:rsidP="00ED02AC">
            <w:pPr>
              <w:pStyle w:val="Tablebullet"/>
            </w:pPr>
            <w:r w:rsidRPr="001807C6">
              <w:t xml:space="preserve">A high influx of workers during certain Project phases can lead to increased housing prices </w:t>
            </w:r>
          </w:p>
          <w:p w14:paraId="52849990" w14:textId="7507930B" w:rsidR="00ED02AC" w:rsidRPr="001807C6" w:rsidRDefault="00ED02AC" w:rsidP="00ED02AC">
            <w:pPr>
              <w:pStyle w:val="Tablebullet"/>
            </w:pPr>
            <w:r w:rsidRPr="001807C6">
              <w:t xml:space="preserve">Environmental related issues (e.g. spills, soil and water contamination) posing hazards to local communities </w:t>
            </w:r>
          </w:p>
        </w:tc>
        <w:tc>
          <w:tcPr>
            <w:tcW w:w="398" w:type="pct"/>
          </w:tcPr>
          <w:p w14:paraId="440418BB" w14:textId="77777777" w:rsidR="00ED02AC" w:rsidRPr="0020657E" w:rsidRDefault="00ED02AC" w:rsidP="00ED02AC">
            <w:pPr>
              <w:spacing w:before="40" w:after="40"/>
              <w:jc w:val="center"/>
              <w:rPr>
                <w:rFonts w:cs="Arial"/>
              </w:rPr>
            </w:pPr>
          </w:p>
        </w:tc>
        <w:tc>
          <w:tcPr>
            <w:tcW w:w="1753" w:type="pct"/>
          </w:tcPr>
          <w:p w14:paraId="6C359B97" w14:textId="77777777" w:rsidR="00ED02AC" w:rsidRPr="0020657E" w:rsidRDefault="00ED02AC" w:rsidP="00ED02AC">
            <w:pPr>
              <w:spacing w:before="40" w:after="40"/>
              <w:rPr>
                <w:rFonts w:cs="Arial"/>
              </w:rPr>
            </w:pPr>
          </w:p>
        </w:tc>
      </w:tr>
      <w:tr w:rsidR="00ED02AC" w:rsidRPr="0020657E" w14:paraId="2865CDC7" w14:textId="77777777" w:rsidTr="00373C01">
        <w:tc>
          <w:tcPr>
            <w:tcW w:w="207" w:type="pct"/>
          </w:tcPr>
          <w:p w14:paraId="6FB6FDD5" w14:textId="77777777" w:rsidR="00ED02AC" w:rsidRPr="0020657E" w:rsidRDefault="00ED02AC" w:rsidP="00ED02AC">
            <w:pPr>
              <w:spacing w:before="40" w:after="40"/>
              <w:rPr>
                <w:rFonts w:cs="Arial"/>
              </w:rPr>
            </w:pPr>
            <w:r w:rsidRPr="0020657E">
              <w:rPr>
                <w:rFonts w:cs="Arial"/>
              </w:rPr>
              <w:t>19</w:t>
            </w:r>
          </w:p>
        </w:tc>
        <w:tc>
          <w:tcPr>
            <w:tcW w:w="954" w:type="pct"/>
          </w:tcPr>
          <w:p w14:paraId="5A34BCAE"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freedom of thought, conscience and religion</w:t>
            </w:r>
          </w:p>
          <w:p w14:paraId="3437330F"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18; ICCPR 18</w:t>
            </w:r>
          </w:p>
        </w:tc>
        <w:tc>
          <w:tcPr>
            <w:tcW w:w="1688" w:type="pct"/>
          </w:tcPr>
          <w:p w14:paraId="44AE83BE" w14:textId="0E299174" w:rsidR="00ED02AC" w:rsidRPr="001807C6" w:rsidRDefault="00ED02AC" w:rsidP="00ED02AC">
            <w:pPr>
              <w:pStyle w:val="Tabletextleft"/>
              <w:rPr>
                <w:rFonts w:cstheme="minorHAnsi"/>
                <w:szCs w:val="18"/>
              </w:rPr>
            </w:pPr>
            <w:r>
              <w:rPr>
                <w:rFonts w:cstheme="minorHAnsi"/>
                <w:szCs w:val="18"/>
              </w:rPr>
              <w:t xml:space="preserve">Is the Project workforce or sub-contractor’s/supplier workforce subject to restriction on these freedoms? </w:t>
            </w:r>
          </w:p>
          <w:p w14:paraId="7600D9D3"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19B170A3" w14:textId="77777777" w:rsidR="00ED02AC" w:rsidRDefault="00ED02AC" w:rsidP="00ED02AC">
            <w:pPr>
              <w:pStyle w:val="Tablebullet"/>
            </w:pPr>
            <w:r>
              <w:t xml:space="preserve">Discrimination against religious or other minorities </w:t>
            </w:r>
          </w:p>
          <w:p w14:paraId="473ACFCB" w14:textId="389969AF" w:rsidR="00ED02AC" w:rsidRDefault="00ED02AC" w:rsidP="00ED02AC">
            <w:pPr>
              <w:pStyle w:val="Tablebullet"/>
            </w:pPr>
            <w:r>
              <w:t>Cruel</w:t>
            </w:r>
            <w:r w:rsidRPr="00F671D7">
              <w:t xml:space="preserve"> or inhumane treatment of workers by supervisors or fellow employees</w:t>
            </w:r>
            <w:r>
              <w:t xml:space="preserve">, harassment </w:t>
            </w:r>
          </w:p>
          <w:p w14:paraId="36426987" w14:textId="77777777" w:rsidR="00ED02AC" w:rsidRPr="00F671D7" w:rsidRDefault="00ED02AC" w:rsidP="00ED02AC">
            <w:pPr>
              <w:pStyle w:val="Tablebullet"/>
              <w:rPr>
                <w:lang w:val="en-US"/>
              </w:rPr>
            </w:pPr>
            <w:r w:rsidRPr="00F671D7">
              <w:rPr>
                <w:lang w:val="en-US"/>
              </w:rPr>
              <w:t>The presence of vulnerable workers (e.g. contract-workers, migrant workers) that may accept mistreatment due to precarious employment conditions</w:t>
            </w:r>
          </w:p>
        </w:tc>
        <w:tc>
          <w:tcPr>
            <w:tcW w:w="398" w:type="pct"/>
          </w:tcPr>
          <w:p w14:paraId="2CD71E29" w14:textId="77777777" w:rsidR="00ED02AC" w:rsidRPr="0020657E" w:rsidRDefault="00ED02AC" w:rsidP="00ED02AC">
            <w:pPr>
              <w:spacing w:before="40" w:after="40"/>
              <w:jc w:val="center"/>
              <w:rPr>
                <w:rFonts w:cs="Arial"/>
              </w:rPr>
            </w:pPr>
          </w:p>
        </w:tc>
        <w:tc>
          <w:tcPr>
            <w:tcW w:w="1753" w:type="pct"/>
          </w:tcPr>
          <w:p w14:paraId="53ACD4A0" w14:textId="77777777" w:rsidR="00ED02AC" w:rsidRPr="0020657E" w:rsidRDefault="00ED02AC" w:rsidP="00ED02AC">
            <w:pPr>
              <w:spacing w:before="40" w:after="40"/>
              <w:rPr>
                <w:rFonts w:cs="Arial"/>
              </w:rPr>
            </w:pPr>
          </w:p>
        </w:tc>
      </w:tr>
      <w:tr w:rsidR="00ED02AC" w:rsidRPr="0020657E" w14:paraId="2DD9052D" w14:textId="77777777" w:rsidTr="00373C01">
        <w:tc>
          <w:tcPr>
            <w:tcW w:w="207" w:type="pct"/>
          </w:tcPr>
          <w:p w14:paraId="649401FD" w14:textId="77777777" w:rsidR="00ED02AC" w:rsidRPr="0020657E" w:rsidRDefault="00ED02AC" w:rsidP="00ED02AC">
            <w:pPr>
              <w:spacing w:before="40" w:after="40"/>
              <w:rPr>
                <w:rFonts w:cs="Arial"/>
              </w:rPr>
            </w:pPr>
            <w:r w:rsidRPr="0020657E">
              <w:rPr>
                <w:rFonts w:cs="Arial"/>
              </w:rPr>
              <w:t>20</w:t>
            </w:r>
          </w:p>
        </w:tc>
        <w:tc>
          <w:tcPr>
            <w:tcW w:w="954" w:type="pct"/>
          </w:tcPr>
          <w:p w14:paraId="1D1D37AE"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freedom of opinion, information and expression</w:t>
            </w:r>
          </w:p>
          <w:p w14:paraId="04EDCFDA"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19; ICCPR 19</w:t>
            </w:r>
          </w:p>
        </w:tc>
        <w:tc>
          <w:tcPr>
            <w:tcW w:w="1688" w:type="pct"/>
          </w:tcPr>
          <w:p w14:paraId="324B962B" w14:textId="4CEDAFBF" w:rsidR="00ED02AC" w:rsidRPr="001807C6" w:rsidRDefault="00ED02AC" w:rsidP="00ED02AC">
            <w:pPr>
              <w:pStyle w:val="Tabletextleft"/>
              <w:rPr>
                <w:rFonts w:cstheme="minorHAnsi"/>
                <w:szCs w:val="18"/>
              </w:rPr>
            </w:pPr>
            <w:r>
              <w:rPr>
                <w:rFonts w:cstheme="minorHAnsi"/>
                <w:szCs w:val="18"/>
              </w:rPr>
              <w:t xml:space="preserve">Is the Project workforce or sub-contractor’s/supplier workforce subject to restriction on these freedoms? Are there restrictions on others’ opinions, information or expression related to the Project? </w:t>
            </w:r>
          </w:p>
          <w:p w14:paraId="18CCBD66"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018ABA5D" w14:textId="77777777" w:rsidR="00ED02AC" w:rsidRDefault="00ED02AC" w:rsidP="00ED02AC">
            <w:pPr>
              <w:pStyle w:val="Tablebullet"/>
            </w:pPr>
            <w:r>
              <w:t xml:space="preserve">Discrimination against religious or other minorities </w:t>
            </w:r>
          </w:p>
          <w:p w14:paraId="421C4020" w14:textId="3FEC2C27" w:rsidR="00ED02AC" w:rsidRDefault="00ED02AC" w:rsidP="00ED02AC">
            <w:pPr>
              <w:pStyle w:val="Tablebullet"/>
            </w:pPr>
            <w:r>
              <w:t>Cruel</w:t>
            </w:r>
            <w:r w:rsidRPr="00F671D7">
              <w:t xml:space="preserve"> or inhumane treatment of workers by supervisors or fellow employees</w:t>
            </w:r>
            <w:r>
              <w:t xml:space="preserve">, harassment </w:t>
            </w:r>
          </w:p>
          <w:p w14:paraId="10E2B648" w14:textId="77777777" w:rsidR="00ED02AC" w:rsidRPr="00ED02AC" w:rsidRDefault="00ED02AC" w:rsidP="00ED02AC">
            <w:pPr>
              <w:pStyle w:val="Tablebullet"/>
            </w:pPr>
            <w:r w:rsidRPr="00F671D7">
              <w:rPr>
                <w:lang w:val="en-US"/>
              </w:rPr>
              <w:t>The presence of vulnerable workers (e.g. contract-workers, migrant workers) that may accept mistreatment due to precarious employment conditions</w:t>
            </w:r>
          </w:p>
          <w:p w14:paraId="50D4EA43" w14:textId="5B3EAFAA" w:rsidR="00ED02AC" w:rsidRPr="001807C6" w:rsidRDefault="00ED02AC" w:rsidP="00ED02AC">
            <w:pPr>
              <w:pStyle w:val="Tablebullet"/>
            </w:pPr>
            <w:r>
              <w:rPr>
                <w:lang w:val="en-US"/>
              </w:rPr>
              <w:t>Approaches to limiting dialogue or opinions of communities or other stakeholders</w:t>
            </w:r>
          </w:p>
        </w:tc>
        <w:tc>
          <w:tcPr>
            <w:tcW w:w="398" w:type="pct"/>
          </w:tcPr>
          <w:p w14:paraId="132BDB18" w14:textId="77777777" w:rsidR="00ED02AC" w:rsidRPr="0020657E" w:rsidRDefault="00ED02AC" w:rsidP="00ED02AC">
            <w:pPr>
              <w:spacing w:before="40" w:after="40"/>
              <w:jc w:val="center"/>
              <w:rPr>
                <w:rFonts w:cs="Arial"/>
              </w:rPr>
            </w:pPr>
          </w:p>
        </w:tc>
        <w:tc>
          <w:tcPr>
            <w:tcW w:w="1753" w:type="pct"/>
          </w:tcPr>
          <w:p w14:paraId="1480D787" w14:textId="77777777" w:rsidR="00ED02AC" w:rsidRPr="0020657E" w:rsidRDefault="00ED02AC" w:rsidP="00ED02AC">
            <w:pPr>
              <w:spacing w:before="40" w:after="40"/>
              <w:rPr>
                <w:rFonts w:cs="Arial"/>
              </w:rPr>
            </w:pPr>
          </w:p>
        </w:tc>
      </w:tr>
      <w:tr w:rsidR="00ED02AC" w:rsidRPr="0020657E" w14:paraId="5599BBF8" w14:textId="77777777" w:rsidTr="00373C01">
        <w:tc>
          <w:tcPr>
            <w:tcW w:w="207" w:type="pct"/>
          </w:tcPr>
          <w:p w14:paraId="79A84C7C" w14:textId="77777777" w:rsidR="00ED02AC" w:rsidRPr="0020657E" w:rsidRDefault="00ED02AC" w:rsidP="00ED02AC">
            <w:pPr>
              <w:spacing w:before="40" w:after="40"/>
              <w:rPr>
                <w:rFonts w:cs="Arial"/>
              </w:rPr>
            </w:pPr>
            <w:r w:rsidRPr="0020657E">
              <w:rPr>
                <w:rFonts w:cs="Arial"/>
              </w:rPr>
              <w:t>21</w:t>
            </w:r>
          </w:p>
        </w:tc>
        <w:tc>
          <w:tcPr>
            <w:tcW w:w="954" w:type="pct"/>
          </w:tcPr>
          <w:p w14:paraId="488B39A4"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freedom of assembly</w:t>
            </w:r>
          </w:p>
          <w:p w14:paraId="202F2784"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20; ICCPR 21</w:t>
            </w:r>
          </w:p>
        </w:tc>
        <w:tc>
          <w:tcPr>
            <w:tcW w:w="1688" w:type="pct"/>
          </w:tcPr>
          <w:p w14:paraId="4C0BABC0" w14:textId="77777777" w:rsidR="00ED02AC" w:rsidRPr="001807C6" w:rsidRDefault="00ED02AC" w:rsidP="00ED02AC">
            <w:pPr>
              <w:pStyle w:val="Tabletextleft"/>
              <w:rPr>
                <w:rFonts w:cstheme="minorHAnsi"/>
                <w:szCs w:val="18"/>
              </w:rPr>
            </w:pPr>
            <w:r w:rsidRPr="001807C6">
              <w:rPr>
                <w:rFonts w:cstheme="minorHAnsi"/>
                <w:szCs w:val="18"/>
              </w:rPr>
              <w:t xml:space="preserve">The right of peaceful assembly covers both the preparation of and the conduction of an assembly, and the right to participate in it.  Do the countries’ legal frameworks contain effective, clear, and reasonable provisions on the right to protest?  </w:t>
            </w:r>
          </w:p>
          <w:p w14:paraId="76C8B273"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0C72CD7B" w14:textId="5B6F8924" w:rsidR="00ED02AC" w:rsidRPr="00316ADA" w:rsidRDefault="00ED02AC" w:rsidP="00ED02AC">
            <w:pPr>
              <w:pStyle w:val="Tablebullet"/>
              <w:rPr>
                <w:lang w:val="en-US"/>
              </w:rPr>
            </w:pPr>
            <w:r>
              <w:t>Limitations</w:t>
            </w:r>
            <w:r w:rsidRPr="00316ADA">
              <w:rPr>
                <w:lang w:val="en-US"/>
              </w:rPr>
              <w:t xml:space="preserve"> on the right of an assembly and peaceful protest by direct workers and/sub-contractors on the site </w:t>
            </w:r>
          </w:p>
          <w:p w14:paraId="2B41AA26" w14:textId="77777777" w:rsidR="00ED02AC" w:rsidRPr="00316ADA" w:rsidRDefault="00ED02AC" w:rsidP="00ED02AC">
            <w:pPr>
              <w:pStyle w:val="Tablebullet"/>
              <w:rPr>
                <w:lang w:val="en-US"/>
              </w:rPr>
            </w:pPr>
            <w:r w:rsidRPr="00316ADA">
              <w:rPr>
                <w:lang w:val="en-US"/>
              </w:rPr>
              <w:lastRenderedPageBreak/>
              <w:t>Existence of sanctions, threats, harassment and other punishment for exercising these rights</w:t>
            </w:r>
          </w:p>
          <w:p w14:paraId="11292BB4" w14:textId="77777777" w:rsidR="00ED02AC" w:rsidRPr="001807C6" w:rsidRDefault="00ED02AC" w:rsidP="00ED02AC">
            <w:pPr>
              <w:pStyle w:val="Tablebullet"/>
            </w:pPr>
            <w:r w:rsidRPr="00CB0489">
              <w:rPr>
                <w:rStyle w:val="A2"/>
                <w:bCs/>
                <w:lang w:val="en-US"/>
              </w:rPr>
              <w:t>Government security / police force approach to workforce / affected community protests</w:t>
            </w:r>
          </w:p>
        </w:tc>
        <w:tc>
          <w:tcPr>
            <w:tcW w:w="398" w:type="pct"/>
          </w:tcPr>
          <w:p w14:paraId="737E5F32" w14:textId="77777777" w:rsidR="00ED02AC" w:rsidRPr="0020657E" w:rsidRDefault="00ED02AC" w:rsidP="00ED02AC">
            <w:pPr>
              <w:spacing w:before="40" w:after="40"/>
              <w:jc w:val="center"/>
              <w:rPr>
                <w:rFonts w:cs="Arial"/>
              </w:rPr>
            </w:pPr>
          </w:p>
        </w:tc>
        <w:tc>
          <w:tcPr>
            <w:tcW w:w="1753" w:type="pct"/>
          </w:tcPr>
          <w:p w14:paraId="5216F3F4" w14:textId="77777777" w:rsidR="00ED02AC" w:rsidRPr="0020657E" w:rsidRDefault="00ED02AC" w:rsidP="00ED02AC">
            <w:pPr>
              <w:spacing w:before="40" w:after="40"/>
              <w:rPr>
                <w:rFonts w:cs="Arial"/>
              </w:rPr>
            </w:pPr>
          </w:p>
        </w:tc>
      </w:tr>
      <w:tr w:rsidR="00ED02AC" w:rsidRPr="0020657E" w14:paraId="2BDF8E41" w14:textId="77777777" w:rsidTr="00373C01">
        <w:tc>
          <w:tcPr>
            <w:tcW w:w="207" w:type="pct"/>
          </w:tcPr>
          <w:p w14:paraId="05CCFB41" w14:textId="77777777" w:rsidR="00ED02AC" w:rsidRPr="0020657E" w:rsidRDefault="00ED02AC" w:rsidP="00ED02AC">
            <w:pPr>
              <w:spacing w:before="40" w:after="40"/>
              <w:rPr>
                <w:rFonts w:cs="Arial"/>
              </w:rPr>
            </w:pPr>
            <w:r w:rsidRPr="0020657E">
              <w:rPr>
                <w:rFonts w:cs="Arial"/>
              </w:rPr>
              <w:t>22</w:t>
            </w:r>
          </w:p>
        </w:tc>
        <w:tc>
          <w:tcPr>
            <w:tcW w:w="954" w:type="pct"/>
          </w:tcPr>
          <w:p w14:paraId="23CF9E25"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freedom of association</w:t>
            </w:r>
          </w:p>
          <w:p w14:paraId="6EF2A763"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20; ICCPR 22; ILO No.87</w:t>
            </w:r>
          </w:p>
        </w:tc>
        <w:tc>
          <w:tcPr>
            <w:tcW w:w="1688" w:type="pct"/>
          </w:tcPr>
          <w:p w14:paraId="6E0C78C6" w14:textId="57D2B76A" w:rsidR="00ED02AC" w:rsidRDefault="00373C01" w:rsidP="00ED02AC">
            <w:pPr>
              <w:spacing w:before="40" w:after="40"/>
              <w:rPr>
                <w:rFonts w:cstheme="minorHAnsi"/>
                <w:sz w:val="18"/>
                <w:szCs w:val="18"/>
              </w:rPr>
            </w:pPr>
            <w:r>
              <w:rPr>
                <w:rFonts w:cstheme="minorHAnsi"/>
                <w:sz w:val="18"/>
                <w:szCs w:val="18"/>
              </w:rPr>
              <w:t xml:space="preserve">Freedom of association means that one can join (or not join, or leave) groups at will, including but not limited to workplace associations (e.g., trade unions), religious groups, social groups, political associations, etc. </w:t>
            </w:r>
            <w:r w:rsidR="00ED02AC">
              <w:rPr>
                <w:rFonts w:cstheme="minorHAnsi"/>
                <w:sz w:val="18"/>
                <w:szCs w:val="18"/>
              </w:rPr>
              <w:t xml:space="preserve">Where </w:t>
            </w:r>
            <w:r w:rsidR="00EF015C">
              <w:rPr>
                <w:rFonts w:cstheme="minorHAnsi"/>
                <w:sz w:val="18"/>
                <w:szCs w:val="18"/>
              </w:rPr>
              <w:t>unions/collective bargaining</w:t>
            </w:r>
            <w:r w:rsidR="00ED02AC">
              <w:rPr>
                <w:rFonts w:cstheme="minorHAnsi"/>
                <w:sz w:val="18"/>
                <w:szCs w:val="18"/>
              </w:rPr>
              <w:t xml:space="preserve"> is legally possible, is the right to Freedom of Association infringed on by the Project, contractors/suppliers? Where </w:t>
            </w:r>
            <w:r w:rsidR="00EF015C">
              <w:rPr>
                <w:rFonts w:cstheme="minorHAnsi"/>
                <w:sz w:val="18"/>
                <w:szCs w:val="18"/>
              </w:rPr>
              <w:t>unions/collective bargaining</w:t>
            </w:r>
            <w:r w:rsidR="00ED02AC">
              <w:rPr>
                <w:rFonts w:cstheme="minorHAnsi"/>
                <w:sz w:val="18"/>
                <w:szCs w:val="18"/>
              </w:rPr>
              <w:t xml:space="preserve"> is not legally permitted, does the Project, contractors and suppliers support alternative means of social dialogue? </w:t>
            </w:r>
          </w:p>
          <w:p w14:paraId="6F822EDA"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704C42D3" w14:textId="77777777" w:rsidR="00ED02AC" w:rsidRPr="00574681" w:rsidRDefault="00ED02AC" w:rsidP="00ED02AC">
            <w:pPr>
              <w:pStyle w:val="Tablebullet"/>
              <w:rPr>
                <w:lang w:val="en-US"/>
              </w:rPr>
            </w:pPr>
            <w:r w:rsidRPr="00574681">
              <w:rPr>
                <w:lang w:val="en-US"/>
              </w:rPr>
              <w:t>Existence of sanctions, threats, harassment and other punishment for exercising these rights</w:t>
            </w:r>
          </w:p>
          <w:p w14:paraId="38AC8C91" w14:textId="77777777" w:rsidR="00ED02AC" w:rsidRDefault="00ED02AC" w:rsidP="00ED02AC">
            <w:pPr>
              <w:pStyle w:val="Tablebullet"/>
              <w:rPr>
                <w:lang w:val="en-US"/>
              </w:rPr>
            </w:pPr>
            <w:r w:rsidRPr="00574681">
              <w:rPr>
                <w:lang w:val="en-US"/>
              </w:rPr>
              <w:t>Lack of a Grievance Mechanism</w:t>
            </w:r>
          </w:p>
          <w:p w14:paraId="4E997084" w14:textId="77777777" w:rsidR="00ED02AC" w:rsidRPr="003773E0" w:rsidRDefault="00ED02AC" w:rsidP="00ED02AC">
            <w:pPr>
              <w:pStyle w:val="Tablebullet"/>
              <w:rPr>
                <w:rFonts w:cs="Verdana"/>
                <w:bCs/>
                <w:color w:val="000000"/>
                <w:lang w:val="en-US"/>
              </w:rPr>
            </w:pPr>
            <w:r w:rsidRPr="00CB0489">
              <w:rPr>
                <w:rStyle w:val="A2"/>
                <w:bCs/>
                <w:lang w:val="en-US"/>
              </w:rPr>
              <w:t>Government security / polic</w:t>
            </w:r>
            <w:r>
              <w:rPr>
                <w:rStyle w:val="A2"/>
                <w:bCs/>
                <w:lang w:val="en-US"/>
              </w:rPr>
              <w:t xml:space="preserve">e force approach to workforce </w:t>
            </w:r>
          </w:p>
        </w:tc>
        <w:tc>
          <w:tcPr>
            <w:tcW w:w="398" w:type="pct"/>
          </w:tcPr>
          <w:p w14:paraId="6F7E499F" w14:textId="77777777" w:rsidR="00ED02AC" w:rsidRPr="0020657E" w:rsidRDefault="00ED02AC" w:rsidP="00ED02AC">
            <w:pPr>
              <w:spacing w:before="40" w:after="40"/>
              <w:jc w:val="center"/>
              <w:rPr>
                <w:rFonts w:cs="Arial"/>
              </w:rPr>
            </w:pPr>
            <w:r>
              <w:rPr>
                <w:rFonts w:cs="Arial"/>
              </w:rPr>
              <w:t xml:space="preserve"> </w:t>
            </w:r>
          </w:p>
        </w:tc>
        <w:tc>
          <w:tcPr>
            <w:tcW w:w="1753" w:type="pct"/>
          </w:tcPr>
          <w:p w14:paraId="5ADB5883" w14:textId="77777777" w:rsidR="00ED02AC" w:rsidRPr="0020657E" w:rsidRDefault="00ED02AC" w:rsidP="00ED02AC">
            <w:pPr>
              <w:spacing w:before="40" w:after="40"/>
              <w:rPr>
                <w:rFonts w:cs="Arial"/>
              </w:rPr>
            </w:pPr>
          </w:p>
        </w:tc>
      </w:tr>
      <w:tr w:rsidR="00ED02AC" w:rsidRPr="0020657E" w14:paraId="72F98526" w14:textId="77777777" w:rsidTr="00373C01">
        <w:tc>
          <w:tcPr>
            <w:tcW w:w="207" w:type="pct"/>
          </w:tcPr>
          <w:p w14:paraId="3A612656" w14:textId="77777777" w:rsidR="00ED02AC" w:rsidRPr="0020657E" w:rsidRDefault="00ED02AC" w:rsidP="00ED02AC">
            <w:pPr>
              <w:spacing w:before="40" w:after="40"/>
              <w:rPr>
                <w:rFonts w:cs="Arial"/>
              </w:rPr>
            </w:pPr>
            <w:r w:rsidRPr="0020657E">
              <w:rPr>
                <w:rFonts w:cs="Arial"/>
              </w:rPr>
              <w:t>23</w:t>
            </w:r>
          </w:p>
        </w:tc>
        <w:tc>
          <w:tcPr>
            <w:tcW w:w="954" w:type="pct"/>
          </w:tcPr>
          <w:p w14:paraId="3C087919"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participate in public life</w:t>
            </w:r>
          </w:p>
          <w:p w14:paraId="2C1A9557"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 xml:space="preserve">UDHR 21; ICCPR 25 </w:t>
            </w:r>
          </w:p>
        </w:tc>
        <w:tc>
          <w:tcPr>
            <w:tcW w:w="1688" w:type="pct"/>
          </w:tcPr>
          <w:p w14:paraId="12DFFB9B" w14:textId="77777777" w:rsidR="00ED02AC" w:rsidRPr="001807C6" w:rsidRDefault="00ED02AC" w:rsidP="00ED02AC">
            <w:pPr>
              <w:pStyle w:val="Tabletextleft"/>
              <w:rPr>
                <w:rFonts w:cstheme="minorHAnsi"/>
                <w:szCs w:val="18"/>
              </w:rPr>
            </w:pPr>
            <w:r>
              <w:rPr>
                <w:rFonts w:cstheme="minorHAnsi"/>
                <w:szCs w:val="18"/>
              </w:rPr>
              <w:t xml:space="preserve">Does the Project and related activities infringe upon individual’s rights to participate in public life (such as elections, freedom of association?) </w:t>
            </w:r>
          </w:p>
          <w:p w14:paraId="35C42A59"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41996549" w14:textId="77777777" w:rsidR="00ED02AC" w:rsidRDefault="00ED02AC" w:rsidP="00ED02AC">
            <w:pPr>
              <w:pStyle w:val="Tablebullet"/>
            </w:pPr>
            <w:r>
              <w:t xml:space="preserve">The Project is in a remote area that makes participation in public life challenging </w:t>
            </w:r>
          </w:p>
          <w:p w14:paraId="34CF69E7" w14:textId="77777777" w:rsidR="00ED02AC" w:rsidRPr="001807C6" w:rsidRDefault="00ED02AC" w:rsidP="00ED02AC">
            <w:pPr>
              <w:pStyle w:val="Tablebullet"/>
            </w:pPr>
            <w:r>
              <w:t>The labour influx due to the Project places a strain on public infrastructure such as transport, rendering access to participation in public life challenging</w:t>
            </w:r>
          </w:p>
        </w:tc>
        <w:tc>
          <w:tcPr>
            <w:tcW w:w="398" w:type="pct"/>
          </w:tcPr>
          <w:p w14:paraId="141E883B" w14:textId="77777777" w:rsidR="00ED02AC" w:rsidRPr="0020657E" w:rsidRDefault="00ED02AC" w:rsidP="00ED02AC">
            <w:pPr>
              <w:spacing w:before="40" w:after="40"/>
              <w:jc w:val="center"/>
              <w:rPr>
                <w:rFonts w:cs="Arial"/>
              </w:rPr>
            </w:pPr>
          </w:p>
        </w:tc>
        <w:tc>
          <w:tcPr>
            <w:tcW w:w="1753" w:type="pct"/>
          </w:tcPr>
          <w:p w14:paraId="725CF395" w14:textId="77777777" w:rsidR="00ED02AC" w:rsidRPr="0020657E" w:rsidRDefault="00ED02AC" w:rsidP="00ED02AC">
            <w:pPr>
              <w:spacing w:before="40" w:after="40"/>
              <w:rPr>
                <w:rFonts w:cs="Arial"/>
              </w:rPr>
            </w:pPr>
          </w:p>
        </w:tc>
      </w:tr>
      <w:tr w:rsidR="00ED02AC" w:rsidRPr="0020657E" w14:paraId="4FF0F877" w14:textId="77777777" w:rsidTr="00373C01">
        <w:tc>
          <w:tcPr>
            <w:tcW w:w="207" w:type="pct"/>
          </w:tcPr>
          <w:p w14:paraId="697603E7" w14:textId="77777777" w:rsidR="00ED02AC" w:rsidRPr="0020657E" w:rsidRDefault="00ED02AC" w:rsidP="00ED02AC">
            <w:pPr>
              <w:spacing w:before="40" w:after="40"/>
              <w:rPr>
                <w:rFonts w:cs="Arial"/>
              </w:rPr>
            </w:pPr>
            <w:r w:rsidRPr="0020657E">
              <w:rPr>
                <w:rFonts w:cs="Arial"/>
              </w:rPr>
              <w:t>24</w:t>
            </w:r>
          </w:p>
        </w:tc>
        <w:tc>
          <w:tcPr>
            <w:tcW w:w="954" w:type="pct"/>
          </w:tcPr>
          <w:p w14:paraId="6F80B3EB"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social security, including social insurance</w:t>
            </w:r>
          </w:p>
          <w:p w14:paraId="37833A01"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22; ICESCR 9</w:t>
            </w:r>
          </w:p>
        </w:tc>
        <w:tc>
          <w:tcPr>
            <w:tcW w:w="1688" w:type="pct"/>
          </w:tcPr>
          <w:p w14:paraId="4055071D" w14:textId="77777777" w:rsidR="00ED02AC" w:rsidRPr="001807C6" w:rsidRDefault="00ED02AC" w:rsidP="00ED02AC">
            <w:pPr>
              <w:pStyle w:val="Tabletextleft"/>
              <w:rPr>
                <w:rFonts w:cstheme="minorHAnsi"/>
                <w:szCs w:val="18"/>
              </w:rPr>
            </w:pPr>
            <w:r>
              <w:rPr>
                <w:rFonts w:cstheme="minorHAnsi"/>
                <w:szCs w:val="18"/>
              </w:rPr>
              <w:t xml:space="preserve">Does the Project operate in an area where social security and social insurance is exclusionary towards certain groups (e.g. migrant workers) or self-employed people? </w:t>
            </w:r>
          </w:p>
          <w:p w14:paraId="18FEB9B5"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7F2703E1" w14:textId="77777777" w:rsidR="00ED02AC" w:rsidRDefault="00ED02AC" w:rsidP="00ED02AC">
            <w:pPr>
              <w:pStyle w:val="Tablebullet"/>
            </w:pPr>
            <w:r>
              <w:t xml:space="preserve">Presence of vulnerable people (e.g. migrant workers) </w:t>
            </w:r>
          </w:p>
          <w:p w14:paraId="16CCD89C" w14:textId="77777777" w:rsidR="00ED02AC" w:rsidRPr="001807C6" w:rsidRDefault="00ED02AC" w:rsidP="00ED02AC">
            <w:pPr>
              <w:pStyle w:val="Tablebullet"/>
            </w:pPr>
            <w:r>
              <w:t>High number of temporary/contract workers</w:t>
            </w:r>
          </w:p>
        </w:tc>
        <w:tc>
          <w:tcPr>
            <w:tcW w:w="398" w:type="pct"/>
          </w:tcPr>
          <w:p w14:paraId="4B9E948A" w14:textId="77777777" w:rsidR="00ED02AC" w:rsidRPr="0020657E" w:rsidRDefault="00ED02AC" w:rsidP="00ED02AC">
            <w:pPr>
              <w:spacing w:before="40" w:after="40"/>
              <w:jc w:val="center"/>
              <w:rPr>
                <w:rFonts w:cs="Arial"/>
              </w:rPr>
            </w:pPr>
          </w:p>
        </w:tc>
        <w:tc>
          <w:tcPr>
            <w:tcW w:w="1753" w:type="pct"/>
          </w:tcPr>
          <w:p w14:paraId="1DB550FF" w14:textId="77777777" w:rsidR="00ED02AC" w:rsidRPr="0020657E" w:rsidRDefault="00ED02AC" w:rsidP="00ED02AC">
            <w:pPr>
              <w:spacing w:before="40" w:after="40"/>
              <w:rPr>
                <w:rFonts w:cs="Arial"/>
              </w:rPr>
            </w:pPr>
          </w:p>
        </w:tc>
      </w:tr>
      <w:tr w:rsidR="00ED02AC" w:rsidRPr="0020657E" w14:paraId="5B9354E9" w14:textId="77777777" w:rsidTr="00373C01">
        <w:tc>
          <w:tcPr>
            <w:tcW w:w="207" w:type="pct"/>
          </w:tcPr>
          <w:p w14:paraId="6A78BF0D" w14:textId="77777777" w:rsidR="00ED02AC" w:rsidRPr="0020657E" w:rsidRDefault="00ED02AC" w:rsidP="00ED02AC">
            <w:pPr>
              <w:spacing w:before="40" w:after="40"/>
              <w:rPr>
                <w:rFonts w:cs="Arial"/>
              </w:rPr>
            </w:pPr>
            <w:r w:rsidRPr="0020657E">
              <w:rPr>
                <w:rFonts w:cs="Arial"/>
              </w:rPr>
              <w:t>25</w:t>
            </w:r>
          </w:p>
        </w:tc>
        <w:tc>
          <w:tcPr>
            <w:tcW w:w="954" w:type="pct"/>
          </w:tcPr>
          <w:p w14:paraId="35463D0D"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work</w:t>
            </w:r>
          </w:p>
          <w:p w14:paraId="62A0E1B4"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23; ICESCR 6</w:t>
            </w:r>
          </w:p>
        </w:tc>
        <w:tc>
          <w:tcPr>
            <w:tcW w:w="1688" w:type="pct"/>
          </w:tcPr>
          <w:p w14:paraId="50FFA941" w14:textId="77777777" w:rsidR="00ED02AC" w:rsidRPr="001807C6" w:rsidRDefault="00ED02AC" w:rsidP="00ED02AC">
            <w:pPr>
              <w:autoSpaceDE w:val="0"/>
              <w:autoSpaceDN w:val="0"/>
              <w:adjustRightInd w:val="0"/>
              <w:spacing w:line="240" w:lineRule="auto"/>
              <w:rPr>
                <w:rFonts w:eastAsiaTheme="minorHAnsi" w:cstheme="minorHAnsi"/>
                <w:color w:val="000000"/>
                <w:sz w:val="18"/>
                <w:szCs w:val="18"/>
              </w:rPr>
            </w:pPr>
            <w:r>
              <w:rPr>
                <w:rFonts w:eastAsiaTheme="minorHAnsi" w:cstheme="minorHAnsi"/>
                <w:color w:val="000000"/>
                <w:sz w:val="18"/>
                <w:szCs w:val="18"/>
              </w:rPr>
              <w:t>Does the Project interfere with the right</w:t>
            </w:r>
            <w:r w:rsidRPr="001807C6">
              <w:rPr>
                <w:rFonts w:eastAsiaTheme="minorHAnsi" w:cstheme="minorHAnsi"/>
                <w:color w:val="000000"/>
                <w:sz w:val="18"/>
                <w:szCs w:val="18"/>
              </w:rPr>
              <w:t xml:space="preserve"> to choose and to accept work where it is available and not to be deprived of work unfairly?</w:t>
            </w:r>
            <w:r w:rsidRPr="001807C6">
              <w:rPr>
                <w:rFonts w:eastAsiaTheme="minorHAnsi" w:cstheme="minorHAnsi"/>
                <w:b/>
                <w:bCs/>
                <w:color w:val="001ACD"/>
                <w:sz w:val="18"/>
                <w:szCs w:val="18"/>
              </w:rPr>
              <w:t xml:space="preserve"> </w:t>
            </w:r>
          </w:p>
          <w:p w14:paraId="7B0D0DE8"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3EDB81AE" w14:textId="77777777" w:rsidR="00ED02AC" w:rsidRPr="000D5AEA" w:rsidRDefault="00ED02AC" w:rsidP="00ED02AC">
            <w:pPr>
              <w:pStyle w:val="Tablebullet"/>
            </w:pPr>
            <w:r w:rsidRPr="000D5AEA">
              <w:t xml:space="preserve">Workers being excluded from employment opportunities through discrimination or other means </w:t>
            </w:r>
          </w:p>
          <w:p w14:paraId="060AC88E" w14:textId="77777777" w:rsidR="00ED02AC" w:rsidRPr="000D5AEA" w:rsidRDefault="00ED02AC" w:rsidP="00ED02AC">
            <w:pPr>
              <w:pStyle w:val="Tablebullet"/>
            </w:pPr>
            <w:r w:rsidRPr="000D5AEA">
              <w:t>Interference of equal access in the Project, excluding certain individuals from work</w:t>
            </w:r>
          </w:p>
          <w:p w14:paraId="66BCA8FB" w14:textId="77777777" w:rsidR="00ED02AC" w:rsidRDefault="00ED02AC" w:rsidP="00ED02AC">
            <w:pPr>
              <w:pStyle w:val="Tablebullet"/>
            </w:pPr>
            <w:r w:rsidRPr="000D5AEA">
              <w:t>Lack of a Grievance Mechanism</w:t>
            </w:r>
          </w:p>
          <w:p w14:paraId="6EAB8444" w14:textId="77777777" w:rsidR="00ED02AC" w:rsidRPr="001807C6" w:rsidRDefault="00ED02AC" w:rsidP="00ED02AC">
            <w:pPr>
              <w:pStyle w:val="Tablebullet"/>
            </w:pPr>
            <w:r>
              <w:t>Forced labour in the supply chain/sub-contractors</w:t>
            </w:r>
          </w:p>
        </w:tc>
        <w:tc>
          <w:tcPr>
            <w:tcW w:w="398" w:type="pct"/>
          </w:tcPr>
          <w:p w14:paraId="44FE11CC" w14:textId="77777777" w:rsidR="00ED02AC" w:rsidRPr="0020657E" w:rsidRDefault="00ED02AC" w:rsidP="00ED02AC">
            <w:pPr>
              <w:spacing w:before="40" w:after="40"/>
              <w:jc w:val="center"/>
              <w:rPr>
                <w:rFonts w:cs="Arial"/>
              </w:rPr>
            </w:pPr>
          </w:p>
        </w:tc>
        <w:tc>
          <w:tcPr>
            <w:tcW w:w="1753" w:type="pct"/>
          </w:tcPr>
          <w:p w14:paraId="61FDAAEE" w14:textId="77777777" w:rsidR="00ED02AC" w:rsidRPr="0020657E" w:rsidRDefault="00ED02AC" w:rsidP="00ED02AC">
            <w:pPr>
              <w:spacing w:before="40" w:after="40"/>
              <w:rPr>
                <w:rFonts w:cs="Arial"/>
              </w:rPr>
            </w:pPr>
          </w:p>
        </w:tc>
      </w:tr>
      <w:tr w:rsidR="00ED02AC" w:rsidRPr="0020657E" w14:paraId="617F22E7" w14:textId="77777777" w:rsidTr="00373C01">
        <w:tc>
          <w:tcPr>
            <w:tcW w:w="207" w:type="pct"/>
          </w:tcPr>
          <w:p w14:paraId="3E2D506D" w14:textId="77777777" w:rsidR="00ED02AC" w:rsidRPr="0020657E" w:rsidRDefault="00ED02AC" w:rsidP="00ED02AC">
            <w:pPr>
              <w:spacing w:before="40" w:after="40"/>
              <w:rPr>
                <w:rFonts w:cs="Arial"/>
              </w:rPr>
            </w:pPr>
            <w:r w:rsidRPr="0020657E">
              <w:rPr>
                <w:rFonts w:cs="Arial"/>
              </w:rPr>
              <w:t>26</w:t>
            </w:r>
          </w:p>
        </w:tc>
        <w:tc>
          <w:tcPr>
            <w:tcW w:w="954" w:type="pct"/>
          </w:tcPr>
          <w:p w14:paraId="6B734102"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 xml:space="preserve">Right to enjoy just and </w:t>
            </w:r>
            <w:proofErr w:type="spellStart"/>
            <w:r w:rsidRPr="001807C6">
              <w:rPr>
                <w:rFonts w:cstheme="minorHAnsi"/>
                <w:b/>
                <w:iCs/>
                <w:sz w:val="18"/>
                <w:szCs w:val="18"/>
              </w:rPr>
              <w:t>favorable</w:t>
            </w:r>
            <w:proofErr w:type="spellEnd"/>
            <w:r w:rsidRPr="001807C6">
              <w:rPr>
                <w:rFonts w:cstheme="minorHAnsi"/>
                <w:b/>
                <w:iCs/>
                <w:sz w:val="18"/>
                <w:szCs w:val="18"/>
              </w:rPr>
              <w:t xml:space="preserve"> conditions of work (including rest and leisure) UDHR 23 and 24; ICESCR 7</w:t>
            </w:r>
          </w:p>
        </w:tc>
        <w:tc>
          <w:tcPr>
            <w:tcW w:w="1688" w:type="pct"/>
          </w:tcPr>
          <w:p w14:paraId="7DD4CC02" w14:textId="69C43B2E" w:rsidR="00373C01" w:rsidRPr="001807C6" w:rsidRDefault="00373C01" w:rsidP="00373C01">
            <w:pPr>
              <w:autoSpaceDE w:val="0"/>
              <w:autoSpaceDN w:val="0"/>
              <w:adjustRightInd w:val="0"/>
              <w:spacing w:line="240" w:lineRule="auto"/>
              <w:rPr>
                <w:rFonts w:eastAsiaTheme="minorHAnsi" w:cstheme="minorHAnsi"/>
                <w:color w:val="000000"/>
                <w:sz w:val="18"/>
                <w:szCs w:val="18"/>
              </w:rPr>
            </w:pPr>
            <w:r>
              <w:rPr>
                <w:rFonts w:eastAsiaTheme="minorHAnsi" w:cstheme="minorHAnsi"/>
                <w:color w:val="000000"/>
                <w:sz w:val="18"/>
                <w:szCs w:val="18"/>
              </w:rPr>
              <w:t>Does the Project interfere with the right</w:t>
            </w:r>
            <w:r w:rsidRPr="001807C6">
              <w:rPr>
                <w:rFonts w:eastAsiaTheme="minorHAnsi" w:cstheme="minorHAnsi"/>
                <w:color w:val="000000"/>
                <w:sz w:val="18"/>
                <w:szCs w:val="18"/>
              </w:rPr>
              <w:t xml:space="preserve"> to </w:t>
            </w:r>
            <w:r>
              <w:rPr>
                <w:rFonts w:eastAsiaTheme="minorHAnsi" w:cstheme="minorHAnsi"/>
                <w:color w:val="000000"/>
                <w:sz w:val="18"/>
                <w:szCs w:val="18"/>
              </w:rPr>
              <w:t>be treated fairly at work, and to have reasonable and favourable work conditions (including rest time)</w:t>
            </w:r>
            <w:r w:rsidRPr="001807C6">
              <w:rPr>
                <w:rFonts w:eastAsiaTheme="minorHAnsi" w:cstheme="minorHAnsi"/>
                <w:color w:val="000000"/>
                <w:sz w:val="18"/>
                <w:szCs w:val="18"/>
              </w:rPr>
              <w:t>?</w:t>
            </w:r>
            <w:r w:rsidRPr="001807C6">
              <w:rPr>
                <w:rFonts w:eastAsiaTheme="minorHAnsi" w:cstheme="minorHAnsi"/>
                <w:b/>
                <w:bCs/>
                <w:color w:val="001ACD"/>
                <w:sz w:val="18"/>
                <w:szCs w:val="18"/>
              </w:rPr>
              <w:t xml:space="preserve"> </w:t>
            </w:r>
          </w:p>
          <w:p w14:paraId="3F91DAA5"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597DBB97" w14:textId="77777777" w:rsidR="00ED02AC" w:rsidRPr="001807C6" w:rsidRDefault="00ED02AC" w:rsidP="00ED02AC">
            <w:pPr>
              <w:pStyle w:val="Tablebullet"/>
              <w:rPr>
                <w:lang w:val="en-US"/>
              </w:rPr>
            </w:pPr>
            <w:proofErr w:type="spellStart"/>
            <w:r w:rsidRPr="001807C6">
              <w:rPr>
                <w:lang w:val="en-US"/>
              </w:rPr>
              <w:t>Labour</w:t>
            </w:r>
            <w:proofErr w:type="spellEnd"/>
            <w:r w:rsidRPr="001807C6">
              <w:rPr>
                <w:lang w:val="en-US"/>
              </w:rPr>
              <w:t xml:space="preserve"> and working conditions of employed workforce</w:t>
            </w:r>
            <w:r>
              <w:rPr>
                <w:lang w:val="en-US"/>
              </w:rPr>
              <w:t xml:space="preserve"> (working hours, leave, wages)</w:t>
            </w:r>
          </w:p>
          <w:p w14:paraId="47926CEB" w14:textId="77777777" w:rsidR="00ED02AC" w:rsidRPr="001807C6" w:rsidRDefault="00ED02AC" w:rsidP="00ED02AC">
            <w:pPr>
              <w:pStyle w:val="Tablebullet"/>
              <w:rPr>
                <w:lang w:val="en-US"/>
              </w:rPr>
            </w:pPr>
            <w:proofErr w:type="spellStart"/>
            <w:r w:rsidRPr="001807C6">
              <w:rPr>
                <w:lang w:val="en-US"/>
              </w:rPr>
              <w:t>Labour</w:t>
            </w:r>
            <w:proofErr w:type="spellEnd"/>
            <w:r w:rsidRPr="001807C6">
              <w:rPr>
                <w:lang w:val="en-US"/>
              </w:rPr>
              <w:t xml:space="preserve"> and working conditions of contractors and sub-contractors</w:t>
            </w:r>
          </w:p>
          <w:p w14:paraId="57693DC6" w14:textId="77777777" w:rsidR="00ED02AC" w:rsidRPr="001807C6" w:rsidRDefault="00ED02AC" w:rsidP="00ED02AC">
            <w:pPr>
              <w:pStyle w:val="Tablebullet"/>
              <w:rPr>
                <w:lang w:val="en-US"/>
              </w:rPr>
            </w:pPr>
            <w:proofErr w:type="spellStart"/>
            <w:r w:rsidRPr="001807C6">
              <w:rPr>
                <w:lang w:val="en-US"/>
              </w:rPr>
              <w:t>Labour</w:t>
            </w:r>
            <w:proofErr w:type="spellEnd"/>
            <w:r w:rsidRPr="001807C6">
              <w:rPr>
                <w:lang w:val="en-US"/>
              </w:rPr>
              <w:t xml:space="preserve"> and working conditions in the supply chain</w:t>
            </w:r>
          </w:p>
          <w:p w14:paraId="7B73BCED" w14:textId="77777777" w:rsidR="00ED02AC" w:rsidRDefault="00ED02AC" w:rsidP="00ED02AC">
            <w:pPr>
              <w:pStyle w:val="Tablebullet"/>
              <w:rPr>
                <w:lang w:val="en-US"/>
              </w:rPr>
            </w:pPr>
            <w:r w:rsidRPr="000D5AEA">
              <w:rPr>
                <w:lang w:val="en-US"/>
              </w:rPr>
              <w:t>Worker accommodation standards not being up to pa</w:t>
            </w:r>
            <w:r>
              <w:rPr>
                <w:lang w:val="en-US"/>
              </w:rPr>
              <w:t>r with local health and safety standards</w:t>
            </w:r>
          </w:p>
          <w:p w14:paraId="2223D4CC" w14:textId="77777777" w:rsidR="00ED02AC" w:rsidRDefault="00ED02AC" w:rsidP="00ED02AC">
            <w:pPr>
              <w:pStyle w:val="Tablebullet"/>
              <w:rPr>
                <w:lang w:val="en-US"/>
              </w:rPr>
            </w:pPr>
            <w:r>
              <w:rPr>
                <w:lang w:val="en-US"/>
              </w:rPr>
              <w:t>Occupational health and safety standards, hazardous work conducted at the site, lack of emergency preparedness and response</w:t>
            </w:r>
          </w:p>
          <w:p w14:paraId="53A763F6" w14:textId="77777777" w:rsidR="00ED02AC" w:rsidRPr="001807C6" w:rsidRDefault="00ED02AC" w:rsidP="00ED02AC">
            <w:pPr>
              <w:pStyle w:val="Tablebullet"/>
              <w:rPr>
                <w:lang w:val="en-US"/>
              </w:rPr>
            </w:pPr>
            <w:r w:rsidRPr="000D5AEA">
              <w:rPr>
                <w:lang w:val="en-US"/>
              </w:rPr>
              <w:t>Lack of a Grievance Mechanism</w:t>
            </w:r>
          </w:p>
        </w:tc>
        <w:tc>
          <w:tcPr>
            <w:tcW w:w="398" w:type="pct"/>
          </w:tcPr>
          <w:p w14:paraId="57B2A3A4" w14:textId="77777777" w:rsidR="00ED02AC" w:rsidRPr="0020657E" w:rsidRDefault="00ED02AC" w:rsidP="00ED02AC">
            <w:pPr>
              <w:spacing w:before="40" w:after="40"/>
              <w:jc w:val="center"/>
              <w:rPr>
                <w:rFonts w:cs="Arial"/>
              </w:rPr>
            </w:pPr>
          </w:p>
        </w:tc>
        <w:tc>
          <w:tcPr>
            <w:tcW w:w="1753" w:type="pct"/>
          </w:tcPr>
          <w:p w14:paraId="7B3CAB28" w14:textId="77777777" w:rsidR="00ED02AC" w:rsidRPr="0020657E" w:rsidRDefault="00ED02AC" w:rsidP="00ED02AC">
            <w:pPr>
              <w:spacing w:before="40" w:after="40"/>
              <w:rPr>
                <w:rFonts w:cs="Arial"/>
              </w:rPr>
            </w:pPr>
          </w:p>
        </w:tc>
      </w:tr>
      <w:tr w:rsidR="00ED02AC" w:rsidRPr="0020657E" w14:paraId="1502C230" w14:textId="77777777" w:rsidTr="00373C01">
        <w:tc>
          <w:tcPr>
            <w:tcW w:w="207" w:type="pct"/>
          </w:tcPr>
          <w:p w14:paraId="656ADE0B" w14:textId="77777777" w:rsidR="00ED02AC" w:rsidRPr="0020657E" w:rsidRDefault="00ED02AC" w:rsidP="00ED02AC">
            <w:pPr>
              <w:spacing w:before="40" w:after="40"/>
              <w:rPr>
                <w:rFonts w:cs="Arial"/>
              </w:rPr>
            </w:pPr>
            <w:r w:rsidRPr="0020657E">
              <w:rPr>
                <w:rFonts w:cs="Arial"/>
              </w:rPr>
              <w:t>27</w:t>
            </w:r>
          </w:p>
        </w:tc>
        <w:tc>
          <w:tcPr>
            <w:tcW w:w="954" w:type="pct"/>
          </w:tcPr>
          <w:p w14:paraId="4FD53BF0"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 xml:space="preserve">Right to form trade unions and join the trade unions, and the right to strike </w:t>
            </w:r>
          </w:p>
          <w:p w14:paraId="42694E43"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23; ICESCR 8; ILO No.98</w:t>
            </w:r>
          </w:p>
        </w:tc>
        <w:tc>
          <w:tcPr>
            <w:tcW w:w="1688" w:type="pct"/>
          </w:tcPr>
          <w:p w14:paraId="5CEC45A4" w14:textId="77777777" w:rsidR="00ED02AC" w:rsidRPr="001807C6" w:rsidRDefault="00ED02AC" w:rsidP="00ED02AC">
            <w:pPr>
              <w:pStyle w:val="Tabletextleft"/>
              <w:rPr>
                <w:rFonts w:cstheme="minorHAnsi"/>
                <w:szCs w:val="18"/>
              </w:rPr>
            </w:pPr>
            <w:r w:rsidRPr="001807C6">
              <w:rPr>
                <w:rFonts w:cstheme="minorHAnsi"/>
                <w:szCs w:val="18"/>
              </w:rPr>
              <w:t>D</w:t>
            </w:r>
            <w:r>
              <w:rPr>
                <w:rFonts w:cstheme="minorHAnsi"/>
                <w:szCs w:val="18"/>
              </w:rPr>
              <w:t>oes the Project/sub-contractors/suppliers</w:t>
            </w:r>
            <w:r w:rsidRPr="001807C6">
              <w:rPr>
                <w:rFonts w:cstheme="minorHAnsi"/>
                <w:szCs w:val="18"/>
              </w:rPr>
              <w:t xml:space="preserve"> respect and not inhibit the right to collective bargaining, to join and form a union and/or the right to strike? </w:t>
            </w:r>
          </w:p>
          <w:p w14:paraId="6F389498"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68A97A43" w14:textId="77777777" w:rsidR="00ED02AC" w:rsidRPr="001807C6" w:rsidRDefault="00ED02AC" w:rsidP="00ED02AC">
            <w:pPr>
              <w:pStyle w:val="Tablebullet"/>
              <w:rPr>
                <w:rFonts w:eastAsiaTheme="minorHAnsi"/>
              </w:rPr>
            </w:pPr>
            <w:r w:rsidRPr="001807C6">
              <w:rPr>
                <w:rFonts w:eastAsiaTheme="minorHAnsi"/>
              </w:rPr>
              <w:t xml:space="preserve">Violation of the collective dimension of the right to work, namely to form or to join a union; </w:t>
            </w:r>
          </w:p>
          <w:p w14:paraId="48C43DAC" w14:textId="77777777" w:rsidR="00ED02AC" w:rsidRPr="000D5AEA" w:rsidRDefault="00ED02AC" w:rsidP="00ED02AC">
            <w:pPr>
              <w:pStyle w:val="Tablebullet"/>
              <w:rPr>
                <w:lang w:val="en-US"/>
              </w:rPr>
            </w:pPr>
            <w:r w:rsidRPr="000D5AEA">
              <w:rPr>
                <w:lang w:val="en-US"/>
              </w:rPr>
              <w:lastRenderedPageBreak/>
              <w:t xml:space="preserve">Union membership is either inhibited or sanctioned by the </w:t>
            </w:r>
            <w:r>
              <w:rPr>
                <w:lang w:val="en-US"/>
              </w:rPr>
              <w:t>Project or contractors</w:t>
            </w:r>
          </w:p>
          <w:p w14:paraId="2B7EC774" w14:textId="77777777" w:rsidR="00ED02AC" w:rsidRPr="000D5AEA" w:rsidRDefault="00ED02AC" w:rsidP="00ED02AC">
            <w:pPr>
              <w:pStyle w:val="Tablebullet"/>
              <w:rPr>
                <w:lang w:val="en-US"/>
              </w:rPr>
            </w:pPr>
            <w:r w:rsidRPr="000D5AEA">
              <w:rPr>
                <w:lang w:val="en-US"/>
              </w:rPr>
              <w:t>Punitive measures such as verbal harassment, cuts to payment, transfer to less attractive jobs, or the termination of employment.</w:t>
            </w:r>
          </w:p>
          <w:p w14:paraId="39B66A0F" w14:textId="0FE8700B" w:rsidR="00ED02AC" w:rsidRPr="000D5AEA" w:rsidRDefault="00ED02AC" w:rsidP="00ED02AC">
            <w:pPr>
              <w:pStyle w:val="Tablebullet"/>
              <w:rPr>
                <w:lang w:val="en-US"/>
              </w:rPr>
            </w:pPr>
            <w:r w:rsidRPr="000D5AEA">
              <w:rPr>
                <w:lang w:val="en-US"/>
              </w:rPr>
              <w:t>The project is in a very remote location, constituting the sole source of employment for workers (and therefore the likelihood of succumbing to poor condition</w:t>
            </w:r>
            <w:r>
              <w:rPr>
                <w:lang w:val="en-US"/>
              </w:rPr>
              <w:t>s</w:t>
            </w:r>
            <w:r w:rsidRPr="000D5AEA">
              <w:rPr>
                <w:lang w:val="en-US"/>
              </w:rPr>
              <w:t>)</w:t>
            </w:r>
          </w:p>
          <w:p w14:paraId="260F8EC7" w14:textId="77777777" w:rsidR="00ED02AC" w:rsidRPr="001807C6" w:rsidRDefault="00ED02AC" w:rsidP="00ED02AC">
            <w:pPr>
              <w:pStyle w:val="Tablebullet"/>
              <w:rPr>
                <w:rFonts w:eastAsiaTheme="minorHAnsi"/>
                <w:color w:val="000000"/>
              </w:rPr>
            </w:pPr>
            <w:r w:rsidRPr="000D5AEA">
              <w:rPr>
                <w:lang w:val="en-US"/>
              </w:rPr>
              <w:t>Where unions are prohibited by law in the project geographical location, alternative means of social dialogue should not be inhibited</w:t>
            </w:r>
            <w:r w:rsidRPr="001807C6">
              <w:rPr>
                <w:rFonts w:eastAsiaTheme="minorHAnsi"/>
                <w:color w:val="000000"/>
              </w:rPr>
              <w:t xml:space="preserve"> </w:t>
            </w:r>
          </w:p>
        </w:tc>
        <w:tc>
          <w:tcPr>
            <w:tcW w:w="398" w:type="pct"/>
          </w:tcPr>
          <w:p w14:paraId="3DE52D27" w14:textId="77777777" w:rsidR="00ED02AC" w:rsidRPr="0020657E" w:rsidRDefault="00ED02AC" w:rsidP="00ED02AC">
            <w:pPr>
              <w:spacing w:before="40" w:after="40"/>
              <w:jc w:val="center"/>
              <w:rPr>
                <w:rFonts w:cs="Arial"/>
              </w:rPr>
            </w:pPr>
          </w:p>
        </w:tc>
        <w:tc>
          <w:tcPr>
            <w:tcW w:w="1753" w:type="pct"/>
          </w:tcPr>
          <w:p w14:paraId="1C02083D" w14:textId="77777777" w:rsidR="00ED02AC" w:rsidRPr="0020657E" w:rsidRDefault="00ED02AC" w:rsidP="00ED02AC">
            <w:pPr>
              <w:spacing w:before="40" w:after="40"/>
              <w:rPr>
                <w:rFonts w:cs="Arial"/>
              </w:rPr>
            </w:pPr>
          </w:p>
        </w:tc>
      </w:tr>
      <w:tr w:rsidR="00ED02AC" w:rsidRPr="0020657E" w14:paraId="31456F0A" w14:textId="77777777" w:rsidTr="00373C01">
        <w:tc>
          <w:tcPr>
            <w:tcW w:w="207" w:type="pct"/>
          </w:tcPr>
          <w:p w14:paraId="25E05D7E" w14:textId="77777777" w:rsidR="00ED02AC" w:rsidRPr="0020657E" w:rsidRDefault="00ED02AC" w:rsidP="00ED02AC">
            <w:pPr>
              <w:spacing w:before="40" w:after="40"/>
              <w:rPr>
                <w:rFonts w:cs="Arial"/>
              </w:rPr>
            </w:pPr>
            <w:r w:rsidRPr="0020657E">
              <w:rPr>
                <w:rFonts w:cs="Arial"/>
              </w:rPr>
              <w:t>28</w:t>
            </w:r>
          </w:p>
        </w:tc>
        <w:tc>
          <w:tcPr>
            <w:tcW w:w="954" w:type="pct"/>
          </w:tcPr>
          <w:p w14:paraId="2B6F6B23"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an adequate standard of living (housing, food, water and sanitation)</w:t>
            </w:r>
          </w:p>
          <w:p w14:paraId="6C6DF8AD"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25; ICESCR 11</w:t>
            </w:r>
          </w:p>
        </w:tc>
        <w:tc>
          <w:tcPr>
            <w:tcW w:w="1688" w:type="pct"/>
          </w:tcPr>
          <w:p w14:paraId="51E9F251" w14:textId="77777777" w:rsidR="00ED02AC" w:rsidRPr="001807C6" w:rsidRDefault="00ED02AC" w:rsidP="009320D6">
            <w:pPr>
              <w:pStyle w:val="Tabletextleft"/>
            </w:pPr>
            <w:r>
              <w:t>Do the P</w:t>
            </w:r>
            <w:r w:rsidRPr="001807C6">
              <w:t>roject</w:t>
            </w:r>
            <w:r>
              <w:t>/suppliers/sub-contractors</w:t>
            </w:r>
            <w:r w:rsidRPr="001807C6">
              <w:t xml:space="preserve"> have the potential to inhibit the right to an adequate standard of living (housing, food, water and sanitation) either to d</w:t>
            </w:r>
            <w:r>
              <w:t xml:space="preserve">irect </w:t>
            </w:r>
            <w:r w:rsidRPr="001807C6">
              <w:t xml:space="preserve">workers themselves or to the surrounding area? </w:t>
            </w:r>
          </w:p>
          <w:p w14:paraId="1701F5CE"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413F9449" w14:textId="77777777" w:rsidR="00ED02AC" w:rsidRPr="001807C6" w:rsidRDefault="00ED02AC" w:rsidP="00ED02AC">
            <w:pPr>
              <w:pStyle w:val="Tablebullet"/>
            </w:pPr>
            <w:r w:rsidRPr="001807C6">
              <w:t>Relocation of workers to the construction/exploration Project area in a remote location they no longer have longer access to food, due to a lack of arable land or access to local markets</w:t>
            </w:r>
          </w:p>
          <w:p w14:paraId="3F28940E" w14:textId="77777777" w:rsidR="00ED02AC" w:rsidRPr="001807C6" w:rsidRDefault="00ED02AC" w:rsidP="00ED02AC">
            <w:pPr>
              <w:pStyle w:val="Tablebullet"/>
            </w:pPr>
            <w:r w:rsidRPr="001807C6">
              <w:t xml:space="preserve">Pollution leading to contamination of water and soil due to Project activity, </w:t>
            </w:r>
            <w:r>
              <w:t>ne</w:t>
            </w:r>
            <w:r w:rsidRPr="001807C6">
              <w:t>gatively affecting several food sources (e.g. fish, crops)</w:t>
            </w:r>
          </w:p>
          <w:p w14:paraId="12C4A745" w14:textId="77777777" w:rsidR="00ED02AC" w:rsidRPr="001807C6" w:rsidRDefault="00ED02AC" w:rsidP="00ED02AC">
            <w:pPr>
              <w:pStyle w:val="Tablebullet"/>
            </w:pPr>
            <w:r w:rsidRPr="001807C6">
              <w:t>Forced evictions, involuntary resettlement due to the Project activities</w:t>
            </w:r>
          </w:p>
          <w:p w14:paraId="1D51AECD" w14:textId="77777777" w:rsidR="00ED02AC" w:rsidRPr="001807C6" w:rsidRDefault="00ED02AC" w:rsidP="00ED02AC">
            <w:pPr>
              <w:pStyle w:val="Tablebullet"/>
            </w:pPr>
            <w:r w:rsidRPr="001807C6">
              <w:t xml:space="preserve">A high influx of workers during certain Project phases can lead to increased housing prices </w:t>
            </w:r>
          </w:p>
          <w:p w14:paraId="61ABB2CE" w14:textId="77777777" w:rsidR="00ED02AC" w:rsidRPr="001807C6" w:rsidRDefault="00ED02AC" w:rsidP="00ED02AC">
            <w:pPr>
              <w:pStyle w:val="Tablebullet"/>
            </w:pPr>
            <w:r w:rsidRPr="001807C6">
              <w:t xml:space="preserve">The Project is in an area with presence of Indigenous Peoples </w:t>
            </w:r>
          </w:p>
          <w:p w14:paraId="12F77BDB" w14:textId="77777777" w:rsidR="00ED02AC" w:rsidRPr="001807C6" w:rsidRDefault="00ED02AC" w:rsidP="00ED02AC">
            <w:pPr>
              <w:pStyle w:val="Tablebullet"/>
            </w:pPr>
            <w:r w:rsidRPr="001807C6">
              <w:t>Low wages (below a minimum or a living wage), rendering an adequate standard of living unlikely</w:t>
            </w:r>
          </w:p>
          <w:p w14:paraId="3B572D11" w14:textId="77777777" w:rsidR="00ED02AC" w:rsidRPr="001807C6" w:rsidRDefault="00ED02AC" w:rsidP="00ED02AC">
            <w:pPr>
              <w:pStyle w:val="Tablebullet"/>
            </w:pPr>
            <w:r w:rsidRPr="001807C6">
              <w:t>Worker accommodation standards not being up to par with local health and safety regulations</w:t>
            </w:r>
          </w:p>
          <w:p w14:paraId="1A68BAF9" w14:textId="77777777" w:rsidR="00ED02AC" w:rsidRPr="001807C6" w:rsidRDefault="00ED02AC" w:rsidP="00ED02AC">
            <w:pPr>
              <w:pStyle w:val="Tablebullet"/>
            </w:pPr>
            <w:r w:rsidRPr="001807C6">
              <w:t>High water consumption due to Project activities being in a water-scarce area and affecting the local communities’ access to resources such as water</w:t>
            </w:r>
          </w:p>
        </w:tc>
        <w:tc>
          <w:tcPr>
            <w:tcW w:w="398" w:type="pct"/>
          </w:tcPr>
          <w:p w14:paraId="3ED9951C" w14:textId="77777777" w:rsidR="00ED02AC" w:rsidRPr="0020657E" w:rsidRDefault="00ED02AC" w:rsidP="00ED02AC">
            <w:pPr>
              <w:spacing w:before="40" w:after="40"/>
              <w:jc w:val="center"/>
              <w:rPr>
                <w:rFonts w:cs="Arial"/>
              </w:rPr>
            </w:pPr>
          </w:p>
        </w:tc>
        <w:tc>
          <w:tcPr>
            <w:tcW w:w="1753" w:type="pct"/>
          </w:tcPr>
          <w:p w14:paraId="3C3A24EB" w14:textId="77777777" w:rsidR="00ED02AC" w:rsidRPr="000841DE" w:rsidRDefault="00ED02AC" w:rsidP="00ED02AC">
            <w:pPr>
              <w:spacing w:before="40" w:after="40"/>
              <w:rPr>
                <w:rFonts w:cs="Arial"/>
                <w:sz w:val="18"/>
                <w:u w:val="single"/>
              </w:rPr>
            </w:pPr>
          </w:p>
          <w:p w14:paraId="1DA72BBB" w14:textId="77777777" w:rsidR="00ED02AC" w:rsidRPr="000841DE" w:rsidRDefault="00ED02AC" w:rsidP="00ED02AC">
            <w:pPr>
              <w:spacing w:before="40" w:after="40"/>
              <w:rPr>
                <w:rFonts w:cs="Arial"/>
                <w:sz w:val="18"/>
                <w:u w:val="single"/>
              </w:rPr>
            </w:pPr>
          </w:p>
        </w:tc>
      </w:tr>
      <w:tr w:rsidR="00ED02AC" w:rsidRPr="0020657E" w14:paraId="0B3D4AC8" w14:textId="77777777" w:rsidTr="00373C01">
        <w:tc>
          <w:tcPr>
            <w:tcW w:w="207" w:type="pct"/>
          </w:tcPr>
          <w:p w14:paraId="4FC19EC2" w14:textId="77777777" w:rsidR="00ED02AC" w:rsidRPr="0020657E" w:rsidRDefault="00ED02AC" w:rsidP="00ED02AC">
            <w:pPr>
              <w:spacing w:before="40" w:after="40"/>
              <w:rPr>
                <w:rFonts w:cs="Arial"/>
              </w:rPr>
            </w:pPr>
            <w:r w:rsidRPr="0020657E">
              <w:rPr>
                <w:rFonts w:cs="Arial"/>
              </w:rPr>
              <w:t>29</w:t>
            </w:r>
          </w:p>
        </w:tc>
        <w:tc>
          <w:tcPr>
            <w:tcW w:w="954" w:type="pct"/>
          </w:tcPr>
          <w:p w14:paraId="51F4674B"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health</w:t>
            </w:r>
          </w:p>
          <w:p w14:paraId="282B9AE3"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25; ICESCR 12</w:t>
            </w:r>
          </w:p>
        </w:tc>
        <w:tc>
          <w:tcPr>
            <w:tcW w:w="1688" w:type="pct"/>
          </w:tcPr>
          <w:p w14:paraId="2BE1CCDC" w14:textId="77777777" w:rsidR="00ED02AC" w:rsidRPr="001807C6" w:rsidRDefault="00ED02AC" w:rsidP="009320D6">
            <w:pPr>
              <w:pStyle w:val="Tabletextleft"/>
            </w:pPr>
            <w:r w:rsidRPr="001807C6">
              <w:t xml:space="preserve">Does the Project have the potential to affect the right to health, either to the workers themselves or to the community in the surrounding area? </w:t>
            </w:r>
          </w:p>
          <w:p w14:paraId="107CD7F6"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2075A926" w14:textId="77777777" w:rsidR="00ED02AC" w:rsidRPr="001807C6" w:rsidRDefault="00ED02AC" w:rsidP="00ED02AC">
            <w:pPr>
              <w:pStyle w:val="Tablebullet"/>
            </w:pPr>
            <w:r w:rsidRPr="001807C6">
              <w:t>Pollution leading to contamination of water and soil due to Project activity, negatively affecting several food sources (e.g. fish, crops)</w:t>
            </w:r>
          </w:p>
          <w:p w14:paraId="5CE6D3CB" w14:textId="77777777" w:rsidR="00ED02AC" w:rsidRPr="001807C6" w:rsidRDefault="00ED02AC" w:rsidP="00ED02AC">
            <w:pPr>
              <w:pStyle w:val="Tablebullet"/>
            </w:pPr>
            <w:r w:rsidRPr="001807C6">
              <w:t>Worker accommodation standards not being up to par with local health and safety regulations</w:t>
            </w:r>
          </w:p>
          <w:p w14:paraId="1E580D68" w14:textId="77777777" w:rsidR="00ED02AC" w:rsidRDefault="00ED02AC" w:rsidP="00ED02AC">
            <w:pPr>
              <w:pStyle w:val="Tablebullet"/>
            </w:pPr>
            <w:r w:rsidRPr="001807C6">
              <w:t xml:space="preserve">An increase in the spread of communicable diseases </w:t>
            </w:r>
            <w:r>
              <w:t xml:space="preserve">due to </w:t>
            </w:r>
            <w:r w:rsidRPr="001807C6">
              <w:t>labour influx</w:t>
            </w:r>
            <w:r>
              <w:t xml:space="preserve"> </w:t>
            </w:r>
          </w:p>
          <w:p w14:paraId="33070F85" w14:textId="77777777" w:rsidR="00ED02AC" w:rsidRPr="001807C6" w:rsidRDefault="00ED02AC" w:rsidP="00ED02AC">
            <w:pPr>
              <w:pStyle w:val="Tablebullet"/>
            </w:pPr>
            <w:r>
              <w:t xml:space="preserve">Potential higher demand on health services </w:t>
            </w:r>
          </w:p>
        </w:tc>
        <w:tc>
          <w:tcPr>
            <w:tcW w:w="398" w:type="pct"/>
          </w:tcPr>
          <w:p w14:paraId="30EB38C2" w14:textId="77777777" w:rsidR="00ED02AC" w:rsidRPr="0020657E" w:rsidRDefault="00ED02AC" w:rsidP="00ED02AC">
            <w:pPr>
              <w:spacing w:before="40" w:after="40"/>
              <w:jc w:val="center"/>
              <w:rPr>
                <w:rFonts w:cs="Arial"/>
              </w:rPr>
            </w:pPr>
          </w:p>
        </w:tc>
        <w:tc>
          <w:tcPr>
            <w:tcW w:w="1753" w:type="pct"/>
          </w:tcPr>
          <w:p w14:paraId="4AED4357" w14:textId="77777777" w:rsidR="00ED02AC" w:rsidRPr="0020657E" w:rsidRDefault="00ED02AC" w:rsidP="00ED02AC">
            <w:pPr>
              <w:pStyle w:val="Tabletextleft"/>
            </w:pPr>
          </w:p>
        </w:tc>
      </w:tr>
      <w:tr w:rsidR="00ED02AC" w:rsidRPr="0020657E" w14:paraId="7AF55AFD" w14:textId="77777777" w:rsidTr="00373C01">
        <w:tc>
          <w:tcPr>
            <w:tcW w:w="207" w:type="pct"/>
          </w:tcPr>
          <w:p w14:paraId="496A9CE5" w14:textId="77777777" w:rsidR="00ED02AC" w:rsidRPr="0020657E" w:rsidRDefault="00ED02AC" w:rsidP="00ED02AC">
            <w:pPr>
              <w:spacing w:before="40" w:after="40"/>
              <w:rPr>
                <w:rFonts w:cs="Arial"/>
              </w:rPr>
            </w:pPr>
            <w:r w:rsidRPr="0020657E">
              <w:rPr>
                <w:rFonts w:cs="Arial"/>
              </w:rPr>
              <w:t>30</w:t>
            </w:r>
          </w:p>
        </w:tc>
        <w:tc>
          <w:tcPr>
            <w:tcW w:w="954" w:type="pct"/>
          </w:tcPr>
          <w:p w14:paraId="1A11C68D"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education</w:t>
            </w:r>
          </w:p>
          <w:p w14:paraId="36FABC08"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26; ICESCR 13 and 14</w:t>
            </w:r>
          </w:p>
        </w:tc>
        <w:tc>
          <w:tcPr>
            <w:tcW w:w="1688" w:type="pct"/>
          </w:tcPr>
          <w:p w14:paraId="4C0C4A35" w14:textId="77777777" w:rsidR="00ED02AC" w:rsidRPr="001807C6" w:rsidRDefault="00ED02AC" w:rsidP="00ED02AC">
            <w:pPr>
              <w:pStyle w:val="Tabletextleft"/>
              <w:rPr>
                <w:rFonts w:cstheme="minorHAnsi"/>
                <w:szCs w:val="18"/>
              </w:rPr>
            </w:pPr>
            <w:r w:rsidRPr="001807C6">
              <w:rPr>
                <w:rFonts w:cstheme="minorHAnsi"/>
                <w:szCs w:val="18"/>
              </w:rPr>
              <w:t>Does the Project have the potential to encroach on children’s right to education?</w:t>
            </w:r>
          </w:p>
          <w:p w14:paraId="0E87C227" w14:textId="77777777" w:rsidR="00ED02AC" w:rsidRDefault="00ED02AC" w:rsidP="00ED02AC">
            <w:pPr>
              <w:pStyle w:val="Tabletextleft"/>
              <w:rPr>
                <w:rFonts w:cstheme="minorHAnsi"/>
                <w:szCs w:val="18"/>
              </w:rPr>
            </w:pPr>
            <w:r w:rsidRPr="001807C6">
              <w:rPr>
                <w:rFonts w:cstheme="minorHAnsi"/>
                <w:szCs w:val="18"/>
                <w:u w:val="single"/>
              </w:rPr>
              <w:t xml:space="preserve">Sources of potential risks could include: </w:t>
            </w:r>
            <w:r w:rsidRPr="001807C6">
              <w:rPr>
                <w:rFonts w:cstheme="minorHAnsi"/>
                <w:szCs w:val="18"/>
              </w:rPr>
              <w:t xml:space="preserve"> </w:t>
            </w:r>
          </w:p>
          <w:p w14:paraId="092FFF0E" w14:textId="77777777" w:rsidR="00ED02AC" w:rsidRPr="001807C6" w:rsidRDefault="00ED02AC" w:rsidP="00ED02AC">
            <w:pPr>
              <w:pStyle w:val="Tablebullet"/>
            </w:pPr>
            <w:r>
              <w:t>Child labour in sub-contractors/supply-chain</w:t>
            </w:r>
          </w:p>
          <w:p w14:paraId="079A660D" w14:textId="77777777" w:rsidR="00ED02AC" w:rsidRPr="001807C6" w:rsidRDefault="00ED02AC" w:rsidP="00ED02AC">
            <w:pPr>
              <w:pStyle w:val="Tablebullet"/>
            </w:pPr>
            <w:r>
              <w:t xml:space="preserve">Displacement of workers and their families to a remote area for the Project that has limited or no access to services such as education </w:t>
            </w:r>
          </w:p>
        </w:tc>
        <w:tc>
          <w:tcPr>
            <w:tcW w:w="398" w:type="pct"/>
          </w:tcPr>
          <w:p w14:paraId="4949ADFB" w14:textId="77777777" w:rsidR="00ED02AC" w:rsidRPr="0020657E" w:rsidRDefault="00ED02AC" w:rsidP="00ED02AC">
            <w:pPr>
              <w:spacing w:before="40" w:after="40"/>
              <w:jc w:val="center"/>
              <w:rPr>
                <w:rFonts w:cs="Arial"/>
              </w:rPr>
            </w:pPr>
          </w:p>
        </w:tc>
        <w:tc>
          <w:tcPr>
            <w:tcW w:w="1753" w:type="pct"/>
          </w:tcPr>
          <w:p w14:paraId="2AA444EF" w14:textId="77777777" w:rsidR="00ED02AC" w:rsidRPr="0020657E" w:rsidRDefault="00ED02AC" w:rsidP="00ED02AC">
            <w:pPr>
              <w:spacing w:before="40" w:after="40"/>
              <w:rPr>
                <w:rFonts w:cs="Arial"/>
              </w:rPr>
            </w:pPr>
          </w:p>
        </w:tc>
      </w:tr>
      <w:tr w:rsidR="00ED02AC" w:rsidRPr="0020657E" w14:paraId="6D29A774" w14:textId="77777777" w:rsidTr="00373C01">
        <w:tc>
          <w:tcPr>
            <w:tcW w:w="207" w:type="pct"/>
          </w:tcPr>
          <w:p w14:paraId="31B097C5" w14:textId="77777777" w:rsidR="00ED02AC" w:rsidRPr="0020657E" w:rsidRDefault="00ED02AC" w:rsidP="00ED02AC">
            <w:pPr>
              <w:spacing w:before="40" w:after="40"/>
              <w:rPr>
                <w:rFonts w:cs="Arial"/>
              </w:rPr>
            </w:pPr>
            <w:r w:rsidRPr="0020657E">
              <w:rPr>
                <w:rFonts w:cs="Arial"/>
              </w:rPr>
              <w:t>31</w:t>
            </w:r>
          </w:p>
        </w:tc>
        <w:tc>
          <w:tcPr>
            <w:tcW w:w="954" w:type="pct"/>
          </w:tcPr>
          <w:p w14:paraId="5EBB1DC8"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take part in cultural life, benefit from scientific progress, material and moral rights of authors and inventors</w:t>
            </w:r>
          </w:p>
          <w:p w14:paraId="4B726ADB"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27; ICESCR 15</w:t>
            </w:r>
          </w:p>
        </w:tc>
        <w:tc>
          <w:tcPr>
            <w:tcW w:w="1688" w:type="pct"/>
          </w:tcPr>
          <w:p w14:paraId="7F7A2E4B" w14:textId="77777777" w:rsidR="00ED02AC" w:rsidRPr="001807C6" w:rsidRDefault="00ED02AC" w:rsidP="00ED02AC">
            <w:pPr>
              <w:pStyle w:val="Tabletextleft"/>
              <w:rPr>
                <w:rFonts w:cstheme="minorHAnsi"/>
                <w:szCs w:val="18"/>
              </w:rPr>
            </w:pPr>
            <w:r w:rsidRPr="001807C6">
              <w:rPr>
                <w:rFonts w:cstheme="minorHAnsi"/>
                <w:szCs w:val="18"/>
              </w:rPr>
              <w:t xml:space="preserve">Does the Project and related activities have the potential to infringe on the workers or surrounding communities’ cultural life or any of these other elements? (cultural life is likely to be the most prevalent type of risk in this case) </w:t>
            </w:r>
          </w:p>
          <w:p w14:paraId="0D4EF22E"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28AD76CD" w14:textId="77777777" w:rsidR="00ED02AC" w:rsidRPr="001807C6" w:rsidRDefault="00ED02AC" w:rsidP="00ED02AC">
            <w:pPr>
              <w:pStyle w:val="Tablebullet"/>
            </w:pPr>
            <w:r w:rsidRPr="001807C6">
              <w:t>Involuntary resettlement and/or displacement of communities</w:t>
            </w:r>
          </w:p>
          <w:p w14:paraId="21B350C5" w14:textId="77777777" w:rsidR="00ED02AC" w:rsidRPr="001807C6" w:rsidRDefault="00ED02AC" w:rsidP="00ED02AC">
            <w:pPr>
              <w:pStyle w:val="Tablebullet"/>
            </w:pPr>
            <w:r w:rsidRPr="001807C6">
              <w:t xml:space="preserve">Inadequate consultation with </w:t>
            </w:r>
            <w:r>
              <w:t xml:space="preserve">stakeholders and local </w:t>
            </w:r>
            <w:r w:rsidRPr="001807C6">
              <w:t>communities</w:t>
            </w:r>
          </w:p>
          <w:p w14:paraId="772E552D" w14:textId="77777777" w:rsidR="00ED02AC" w:rsidRPr="001807C6" w:rsidRDefault="00ED02AC" w:rsidP="00ED02AC">
            <w:pPr>
              <w:pStyle w:val="Tablebullet"/>
            </w:pPr>
            <w:r w:rsidRPr="001807C6">
              <w:t>Presence of Indigenous People and usage of lands, territories and resources which have been traditionally used, owned, occupied and acquired by them</w:t>
            </w:r>
          </w:p>
          <w:p w14:paraId="4786A7B8" w14:textId="77777777" w:rsidR="00ED02AC" w:rsidRPr="001807C6" w:rsidRDefault="00ED02AC" w:rsidP="00ED02AC">
            <w:pPr>
              <w:pStyle w:val="Tablebullet"/>
            </w:pPr>
            <w:r w:rsidRPr="000D5AEA">
              <w:t>Low wages (below a minimum or a living wage), rendering an adequate standard of living unlikely</w:t>
            </w:r>
          </w:p>
        </w:tc>
        <w:tc>
          <w:tcPr>
            <w:tcW w:w="398" w:type="pct"/>
          </w:tcPr>
          <w:p w14:paraId="13DD07CD" w14:textId="77777777" w:rsidR="00ED02AC" w:rsidRPr="0020657E" w:rsidRDefault="00ED02AC" w:rsidP="00ED02AC">
            <w:pPr>
              <w:spacing w:before="40" w:after="40"/>
              <w:jc w:val="center"/>
              <w:rPr>
                <w:rFonts w:cs="Arial"/>
              </w:rPr>
            </w:pPr>
          </w:p>
        </w:tc>
        <w:tc>
          <w:tcPr>
            <w:tcW w:w="1753" w:type="pct"/>
          </w:tcPr>
          <w:p w14:paraId="218101AA" w14:textId="77777777" w:rsidR="00ED02AC" w:rsidRPr="0020657E" w:rsidRDefault="00ED02AC" w:rsidP="00ED02AC">
            <w:pPr>
              <w:spacing w:before="40" w:after="40"/>
              <w:rPr>
                <w:rFonts w:cs="Arial"/>
              </w:rPr>
            </w:pPr>
          </w:p>
        </w:tc>
      </w:tr>
      <w:tr w:rsidR="00ED02AC" w:rsidRPr="0020657E" w14:paraId="5ABAC98E" w14:textId="77777777" w:rsidTr="00A147B7">
        <w:tc>
          <w:tcPr>
            <w:tcW w:w="207" w:type="pct"/>
            <w:tcBorders>
              <w:bottom w:val="single" w:sz="2" w:space="0" w:color="FFFFFF" w:themeColor="background1"/>
            </w:tcBorders>
          </w:tcPr>
          <w:p w14:paraId="7209FF07" w14:textId="77777777" w:rsidR="00ED02AC" w:rsidRPr="0020657E" w:rsidRDefault="00ED02AC" w:rsidP="00ED02AC">
            <w:pPr>
              <w:spacing w:before="40" w:after="40"/>
              <w:rPr>
                <w:rFonts w:cs="Arial"/>
              </w:rPr>
            </w:pPr>
            <w:r w:rsidRPr="0020657E">
              <w:rPr>
                <w:rFonts w:cs="Arial"/>
              </w:rPr>
              <w:t>32</w:t>
            </w:r>
          </w:p>
        </w:tc>
        <w:tc>
          <w:tcPr>
            <w:tcW w:w="954" w:type="pct"/>
            <w:tcBorders>
              <w:bottom w:val="single" w:sz="2" w:space="0" w:color="FFFFFF" w:themeColor="background1"/>
            </w:tcBorders>
          </w:tcPr>
          <w:p w14:paraId="0489B359"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to self-determination and natural resources</w:t>
            </w:r>
          </w:p>
          <w:p w14:paraId="31B1FDED"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UDHR 21; ICCPR 1; ICESCR 1</w:t>
            </w:r>
          </w:p>
        </w:tc>
        <w:tc>
          <w:tcPr>
            <w:tcW w:w="1688" w:type="pct"/>
            <w:tcBorders>
              <w:bottom w:val="single" w:sz="2" w:space="0" w:color="FFFFFF" w:themeColor="background1"/>
            </w:tcBorders>
          </w:tcPr>
          <w:p w14:paraId="592D55F4" w14:textId="648C2CF2" w:rsidR="00ED02AC" w:rsidRPr="00560ED7" w:rsidRDefault="00ED02AC" w:rsidP="00ED02AC">
            <w:pPr>
              <w:pStyle w:val="Tabletextleft"/>
              <w:rPr>
                <w:rFonts w:cstheme="minorHAnsi"/>
                <w:szCs w:val="18"/>
              </w:rPr>
            </w:pPr>
            <w:r w:rsidRPr="00560ED7">
              <w:rPr>
                <w:rFonts w:cstheme="minorHAnsi"/>
                <w:szCs w:val="18"/>
              </w:rPr>
              <w:t>Does the Project and related activities have the potential to infringe on the right to self-determination of workers or affected communities</w:t>
            </w:r>
            <w:r>
              <w:rPr>
                <w:rFonts w:cstheme="minorHAnsi"/>
                <w:szCs w:val="18"/>
              </w:rPr>
              <w:t>; i.e. for them to</w:t>
            </w:r>
            <w:r w:rsidRPr="00560ED7">
              <w:rPr>
                <w:rFonts w:cstheme="minorHAnsi"/>
                <w:szCs w:val="18"/>
              </w:rPr>
              <w:t xml:space="preserve"> freely determine their political status and freely pursue their economic, social and cultural development</w:t>
            </w:r>
            <w:r>
              <w:rPr>
                <w:rFonts w:cstheme="minorHAnsi"/>
                <w:szCs w:val="18"/>
              </w:rPr>
              <w:t xml:space="preserve">, </w:t>
            </w:r>
            <w:r w:rsidRPr="00560ED7">
              <w:rPr>
                <w:rFonts w:cstheme="minorHAnsi"/>
                <w:szCs w:val="18"/>
              </w:rPr>
              <w:t xml:space="preserve">and their right to dispose of their own resources freely? </w:t>
            </w:r>
          </w:p>
          <w:p w14:paraId="3B47548C" w14:textId="77777777" w:rsidR="00ED02AC" w:rsidRPr="00560ED7" w:rsidRDefault="00ED02AC" w:rsidP="00ED02AC">
            <w:pPr>
              <w:pStyle w:val="Tabletextleft"/>
              <w:rPr>
                <w:rFonts w:cstheme="minorHAnsi"/>
                <w:szCs w:val="18"/>
                <w:u w:val="single"/>
              </w:rPr>
            </w:pPr>
            <w:r w:rsidRPr="00560ED7">
              <w:rPr>
                <w:rFonts w:cstheme="minorHAnsi"/>
                <w:szCs w:val="18"/>
                <w:u w:val="single"/>
              </w:rPr>
              <w:lastRenderedPageBreak/>
              <w:t xml:space="preserve">Sources of potential risks could include: </w:t>
            </w:r>
          </w:p>
          <w:p w14:paraId="7B744006" w14:textId="1DBC46B6" w:rsidR="00ED02AC" w:rsidRDefault="00ED02AC" w:rsidP="00ED02AC">
            <w:pPr>
              <w:pStyle w:val="Tablebullet"/>
            </w:pPr>
            <w:r w:rsidRPr="00560ED7">
              <w:t xml:space="preserve">Presence of Indigenous Peoples </w:t>
            </w:r>
          </w:p>
          <w:p w14:paraId="37382BDB" w14:textId="238E4563" w:rsidR="00ED02AC" w:rsidRDefault="00ED02AC" w:rsidP="00ED02AC">
            <w:pPr>
              <w:pStyle w:val="Tablebullet"/>
            </w:pPr>
            <w:r>
              <w:t>Risk for the project to diminish an I</w:t>
            </w:r>
            <w:r w:rsidRPr="008334F7">
              <w:t>ndige</w:t>
            </w:r>
            <w:r>
              <w:t>nous group or Peoples' identity</w:t>
            </w:r>
          </w:p>
          <w:p w14:paraId="0A3E42C1" w14:textId="758DBD76" w:rsidR="00ED02AC" w:rsidRDefault="00ED02AC" w:rsidP="00ED02AC">
            <w:pPr>
              <w:pStyle w:val="Tablebullet"/>
            </w:pPr>
            <w:r>
              <w:t xml:space="preserve">Risk for the Project to affect the subsistence of Indigenous Peoples </w:t>
            </w:r>
          </w:p>
          <w:p w14:paraId="5A95AC38" w14:textId="16DBE428" w:rsidR="00ED02AC" w:rsidRPr="001807C6" w:rsidRDefault="00ED02AC" w:rsidP="00ED02AC">
            <w:pPr>
              <w:pStyle w:val="Tablebullet"/>
            </w:pPr>
            <w:r>
              <w:t xml:space="preserve">Lack of stakeholder engagement </w:t>
            </w:r>
          </w:p>
        </w:tc>
        <w:tc>
          <w:tcPr>
            <w:tcW w:w="398" w:type="pct"/>
            <w:tcBorders>
              <w:bottom w:val="single" w:sz="2" w:space="0" w:color="FFFFFF" w:themeColor="background1"/>
            </w:tcBorders>
          </w:tcPr>
          <w:p w14:paraId="3AFCB58A" w14:textId="77777777" w:rsidR="00ED02AC" w:rsidRPr="0020657E" w:rsidRDefault="00ED02AC" w:rsidP="00ED02AC">
            <w:pPr>
              <w:spacing w:before="40" w:after="40"/>
              <w:jc w:val="center"/>
              <w:rPr>
                <w:rFonts w:cs="Arial"/>
              </w:rPr>
            </w:pPr>
          </w:p>
        </w:tc>
        <w:tc>
          <w:tcPr>
            <w:tcW w:w="1753" w:type="pct"/>
            <w:tcBorders>
              <w:bottom w:val="single" w:sz="2" w:space="0" w:color="FFFFFF" w:themeColor="background1"/>
            </w:tcBorders>
          </w:tcPr>
          <w:p w14:paraId="0BCD36C5" w14:textId="77777777" w:rsidR="00ED02AC" w:rsidRPr="0020657E" w:rsidRDefault="00ED02AC" w:rsidP="00ED02AC">
            <w:pPr>
              <w:spacing w:before="40" w:after="40"/>
              <w:rPr>
                <w:rFonts w:cs="Arial"/>
              </w:rPr>
            </w:pPr>
          </w:p>
        </w:tc>
      </w:tr>
      <w:tr w:rsidR="00A147B7" w:rsidRPr="0020657E" w14:paraId="572345B9" w14:textId="77777777" w:rsidTr="00A147B7">
        <w:tc>
          <w:tcPr>
            <w:tcW w:w="207" w:type="pct"/>
            <w:tcBorders>
              <w:top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4AD329F2" w14:textId="77777777" w:rsidR="00ED02AC" w:rsidRPr="00560ED7" w:rsidRDefault="00ED02AC" w:rsidP="00ED02AC">
            <w:pPr>
              <w:spacing w:before="40" w:after="40"/>
              <w:rPr>
                <w:rFonts w:cs="Arial"/>
              </w:rPr>
            </w:pPr>
            <w:r w:rsidRPr="00560ED7">
              <w:rPr>
                <w:rFonts w:cs="Arial"/>
              </w:rPr>
              <w:t>33</w:t>
            </w:r>
          </w:p>
        </w:tc>
        <w:tc>
          <w:tcPr>
            <w:tcW w:w="95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21FD0F31" w14:textId="77777777" w:rsidR="00ED02AC" w:rsidRPr="00560ED7" w:rsidRDefault="00ED02AC" w:rsidP="00ED02AC">
            <w:pPr>
              <w:spacing w:before="40" w:after="40"/>
              <w:rPr>
                <w:rFonts w:cstheme="minorHAnsi"/>
                <w:b/>
                <w:iCs/>
                <w:sz w:val="18"/>
                <w:szCs w:val="18"/>
              </w:rPr>
            </w:pPr>
            <w:r w:rsidRPr="00560ED7">
              <w:rPr>
                <w:rFonts w:cstheme="minorHAnsi"/>
                <w:b/>
                <w:iCs/>
                <w:sz w:val="18"/>
                <w:szCs w:val="18"/>
              </w:rPr>
              <w:t>Right of detained persons to humane treatment</w:t>
            </w:r>
          </w:p>
          <w:p w14:paraId="043CA252" w14:textId="77777777" w:rsidR="00ED02AC" w:rsidRPr="00C154A6" w:rsidRDefault="00ED02AC" w:rsidP="00ED02AC">
            <w:pPr>
              <w:spacing w:before="40" w:after="40"/>
              <w:rPr>
                <w:rFonts w:cstheme="minorHAnsi"/>
                <w:iCs/>
                <w:sz w:val="18"/>
                <w:szCs w:val="18"/>
              </w:rPr>
            </w:pPr>
            <w:r w:rsidRPr="00C154A6">
              <w:rPr>
                <w:rFonts w:cstheme="minorHAnsi"/>
                <w:iCs/>
                <w:sz w:val="18"/>
                <w:szCs w:val="18"/>
              </w:rPr>
              <w:t>UN General Assembly adoption</w:t>
            </w:r>
          </w:p>
        </w:tc>
        <w:tc>
          <w:tcPr>
            <w:tcW w:w="168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197EB6BC" w14:textId="1A1F1CFD" w:rsidR="00ED02AC" w:rsidRPr="00560ED7" w:rsidRDefault="00ED02AC" w:rsidP="00ED02AC">
            <w:pPr>
              <w:pStyle w:val="Tabletextleft"/>
              <w:rPr>
                <w:rFonts w:cstheme="minorHAnsi"/>
                <w:iCs/>
                <w:szCs w:val="18"/>
              </w:rPr>
            </w:pPr>
            <w:r w:rsidRPr="007E47D5">
              <w:t xml:space="preserve">Unlikely to be relevant </w:t>
            </w:r>
            <w:r>
              <w:t>to a GRMF</w:t>
            </w:r>
            <w:r w:rsidRPr="007E47D5">
              <w:t xml:space="preserve"> Project </w:t>
            </w:r>
          </w:p>
        </w:tc>
        <w:tc>
          <w:tcPr>
            <w:tcW w:w="39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2D35178D" w14:textId="77777777" w:rsidR="00ED02AC" w:rsidRPr="00560ED7" w:rsidRDefault="00ED02AC" w:rsidP="00ED02AC">
            <w:pPr>
              <w:spacing w:before="40" w:after="40"/>
              <w:jc w:val="center"/>
              <w:rPr>
                <w:rFonts w:cs="Arial"/>
                <w:highlight w:val="yellow"/>
              </w:rPr>
            </w:pPr>
          </w:p>
        </w:tc>
        <w:tc>
          <w:tcPr>
            <w:tcW w:w="1753" w:type="pct"/>
            <w:tcBorders>
              <w:top w:val="single" w:sz="2" w:space="0" w:color="FFFFFF" w:themeColor="background1"/>
              <w:left w:val="single" w:sz="2" w:space="0" w:color="FFFFFF" w:themeColor="background1"/>
              <w:bottom w:val="single" w:sz="2" w:space="0" w:color="FFFFFF" w:themeColor="background1"/>
            </w:tcBorders>
            <w:shd w:val="clear" w:color="auto" w:fill="E7E6E6" w:themeFill="background2"/>
          </w:tcPr>
          <w:p w14:paraId="68D53A1C" w14:textId="77777777" w:rsidR="00ED02AC" w:rsidRPr="00560ED7" w:rsidRDefault="00ED02AC" w:rsidP="00ED02AC">
            <w:pPr>
              <w:spacing w:before="40" w:after="40"/>
              <w:rPr>
                <w:rFonts w:cs="Arial"/>
                <w:color w:val="FF0000"/>
                <w:highlight w:val="yellow"/>
              </w:rPr>
            </w:pPr>
          </w:p>
        </w:tc>
      </w:tr>
      <w:tr w:rsidR="00A147B7" w:rsidRPr="0020657E" w14:paraId="42F5B978" w14:textId="77777777" w:rsidTr="00A147B7">
        <w:tc>
          <w:tcPr>
            <w:tcW w:w="207" w:type="pct"/>
            <w:tcBorders>
              <w:top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7F36A637" w14:textId="77777777" w:rsidR="00ED02AC" w:rsidRPr="0020657E" w:rsidRDefault="00ED02AC" w:rsidP="00ED02AC">
            <w:pPr>
              <w:spacing w:before="40" w:after="40"/>
              <w:rPr>
                <w:rFonts w:cs="Arial"/>
              </w:rPr>
            </w:pPr>
            <w:r w:rsidRPr="0020657E">
              <w:rPr>
                <w:rFonts w:cs="Arial"/>
              </w:rPr>
              <w:t>34</w:t>
            </w:r>
          </w:p>
        </w:tc>
        <w:tc>
          <w:tcPr>
            <w:tcW w:w="95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6E938E47"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not to be subjected to imprisonment for inability to fulfil a contract</w:t>
            </w:r>
          </w:p>
          <w:p w14:paraId="2DC63534"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ICCPR 11</w:t>
            </w:r>
          </w:p>
        </w:tc>
        <w:tc>
          <w:tcPr>
            <w:tcW w:w="168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27F3C5AA" w14:textId="618902BC" w:rsidR="00ED02AC" w:rsidRPr="00316ADA" w:rsidRDefault="00ED02AC" w:rsidP="00ED02AC">
            <w:pPr>
              <w:pStyle w:val="Tabletextleft"/>
              <w:rPr>
                <w:rFonts w:cstheme="minorHAnsi"/>
                <w:szCs w:val="18"/>
                <w:u w:val="single"/>
              </w:rPr>
            </w:pPr>
            <w:r w:rsidRPr="007E47D5">
              <w:t xml:space="preserve">Unlikely to be relevant </w:t>
            </w:r>
            <w:r>
              <w:t>to a GRMF</w:t>
            </w:r>
            <w:r w:rsidRPr="007E47D5">
              <w:t xml:space="preserve"> Project </w:t>
            </w:r>
          </w:p>
        </w:tc>
        <w:tc>
          <w:tcPr>
            <w:tcW w:w="39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6E6" w:themeFill="background2"/>
          </w:tcPr>
          <w:p w14:paraId="4DF2BFF5" w14:textId="77777777" w:rsidR="00ED02AC" w:rsidRPr="0020657E" w:rsidRDefault="00ED02AC" w:rsidP="00ED02AC">
            <w:pPr>
              <w:spacing w:before="40" w:after="40"/>
              <w:jc w:val="center"/>
              <w:rPr>
                <w:rFonts w:cs="Arial"/>
              </w:rPr>
            </w:pPr>
          </w:p>
        </w:tc>
        <w:tc>
          <w:tcPr>
            <w:tcW w:w="1753" w:type="pct"/>
            <w:tcBorders>
              <w:top w:val="single" w:sz="2" w:space="0" w:color="FFFFFF" w:themeColor="background1"/>
              <w:left w:val="single" w:sz="2" w:space="0" w:color="FFFFFF" w:themeColor="background1"/>
              <w:bottom w:val="single" w:sz="2" w:space="0" w:color="FFFFFF" w:themeColor="background1"/>
            </w:tcBorders>
            <w:shd w:val="clear" w:color="auto" w:fill="E7E6E6" w:themeFill="background2"/>
          </w:tcPr>
          <w:p w14:paraId="74BAF27E" w14:textId="77777777" w:rsidR="00ED02AC" w:rsidRPr="0020657E" w:rsidRDefault="00ED02AC" w:rsidP="00ED02AC">
            <w:pPr>
              <w:spacing w:before="40" w:after="40"/>
              <w:rPr>
                <w:rFonts w:cs="Arial"/>
              </w:rPr>
            </w:pPr>
          </w:p>
        </w:tc>
      </w:tr>
      <w:tr w:rsidR="00A147B7" w:rsidRPr="0020657E" w14:paraId="4CEC36E8" w14:textId="77777777" w:rsidTr="00A147B7">
        <w:tc>
          <w:tcPr>
            <w:tcW w:w="207" w:type="pct"/>
            <w:tcBorders>
              <w:top w:val="single" w:sz="2" w:space="0" w:color="FFFFFF" w:themeColor="background1"/>
              <w:right w:val="single" w:sz="2" w:space="0" w:color="FFFFFF" w:themeColor="background1"/>
            </w:tcBorders>
            <w:shd w:val="clear" w:color="auto" w:fill="E7E6E6" w:themeFill="background2"/>
          </w:tcPr>
          <w:p w14:paraId="67D9076F" w14:textId="77777777" w:rsidR="00ED02AC" w:rsidRPr="0020657E" w:rsidRDefault="00ED02AC" w:rsidP="00ED02AC">
            <w:pPr>
              <w:spacing w:before="40" w:after="40"/>
              <w:rPr>
                <w:rFonts w:cs="Arial"/>
              </w:rPr>
            </w:pPr>
            <w:r w:rsidRPr="0020657E">
              <w:rPr>
                <w:rFonts w:cs="Arial"/>
              </w:rPr>
              <w:t>35</w:t>
            </w:r>
          </w:p>
        </w:tc>
        <w:tc>
          <w:tcPr>
            <w:tcW w:w="954"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0BFF1B2C"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 of aliens to due process when facing expulsion</w:t>
            </w:r>
          </w:p>
          <w:p w14:paraId="54C22566"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ICCPR 13</w:t>
            </w:r>
          </w:p>
        </w:tc>
        <w:tc>
          <w:tcPr>
            <w:tcW w:w="168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37219FA9" w14:textId="49F8043B" w:rsidR="00ED02AC" w:rsidRPr="001807C6" w:rsidRDefault="00ED02AC" w:rsidP="00ED02AC">
            <w:pPr>
              <w:pStyle w:val="Tabletextleft"/>
              <w:rPr>
                <w:rFonts w:cstheme="minorHAnsi"/>
                <w:szCs w:val="18"/>
              </w:rPr>
            </w:pPr>
            <w:r w:rsidRPr="007E47D5">
              <w:t xml:space="preserve">Unlikely to be relevant </w:t>
            </w:r>
            <w:r>
              <w:t>to a GRMF</w:t>
            </w:r>
            <w:r w:rsidRPr="007E47D5">
              <w:t xml:space="preserve"> Project </w:t>
            </w:r>
          </w:p>
        </w:tc>
        <w:tc>
          <w:tcPr>
            <w:tcW w:w="398" w:type="pct"/>
            <w:tcBorders>
              <w:top w:val="single" w:sz="2" w:space="0" w:color="FFFFFF" w:themeColor="background1"/>
              <w:left w:val="single" w:sz="2" w:space="0" w:color="FFFFFF" w:themeColor="background1"/>
              <w:right w:val="single" w:sz="2" w:space="0" w:color="FFFFFF" w:themeColor="background1"/>
            </w:tcBorders>
            <w:shd w:val="clear" w:color="auto" w:fill="E7E6E6" w:themeFill="background2"/>
          </w:tcPr>
          <w:p w14:paraId="1FF6D590" w14:textId="77777777" w:rsidR="00ED02AC" w:rsidRPr="0020657E" w:rsidRDefault="00ED02AC" w:rsidP="00ED02AC">
            <w:pPr>
              <w:spacing w:before="40" w:after="40"/>
              <w:ind w:left="191"/>
              <w:jc w:val="center"/>
              <w:rPr>
                <w:rFonts w:cs="Arial"/>
              </w:rPr>
            </w:pPr>
          </w:p>
        </w:tc>
        <w:tc>
          <w:tcPr>
            <w:tcW w:w="1753" w:type="pct"/>
            <w:tcBorders>
              <w:top w:val="single" w:sz="2" w:space="0" w:color="FFFFFF" w:themeColor="background1"/>
              <w:left w:val="single" w:sz="2" w:space="0" w:color="FFFFFF" w:themeColor="background1"/>
            </w:tcBorders>
            <w:shd w:val="clear" w:color="auto" w:fill="E7E6E6" w:themeFill="background2"/>
          </w:tcPr>
          <w:p w14:paraId="5B6BAD82" w14:textId="77777777" w:rsidR="00ED02AC" w:rsidRPr="0020657E" w:rsidRDefault="00ED02AC" w:rsidP="00ED02AC">
            <w:pPr>
              <w:spacing w:before="40" w:after="40"/>
              <w:ind w:left="191"/>
              <w:rPr>
                <w:rFonts w:cs="Arial"/>
              </w:rPr>
            </w:pPr>
          </w:p>
        </w:tc>
      </w:tr>
      <w:tr w:rsidR="00ED02AC" w:rsidRPr="0020657E" w14:paraId="3DB7C210" w14:textId="77777777" w:rsidTr="00373C01">
        <w:tc>
          <w:tcPr>
            <w:tcW w:w="207" w:type="pct"/>
          </w:tcPr>
          <w:p w14:paraId="1D034497" w14:textId="77777777" w:rsidR="00ED02AC" w:rsidRPr="0020657E" w:rsidRDefault="00ED02AC" w:rsidP="00ED02AC">
            <w:pPr>
              <w:spacing w:before="40" w:after="40"/>
              <w:rPr>
                <w:rFonts w:cs="Arial"/>
              </w:rPr>
            </w:pPr>
            <w:r w:rsidRPr="0020657E">
              <w:rPr>
                <w:rFonts w:cs="Arial"/>
              </w:rPr>
              <w:t>36</w:t>
            </w:r>
          </w:p>
        </w:tc>
        <w:tc>
          <w:tcPr>
            <w:tcW w:w="954" w:type="pct"/>
          </w:tcPr>
          <w:p w14:paraId="216B1452"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Rights of minorities</w:t>
            </w:r>
          </w:p>
          <w:p w14:paraId="23F761DC"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ICCPR 27</w:t>
            </w:r>
          </w:p>
        </w:tc>
        <w:tc>
          <w:tcPr>
            <w:tcW w:w="1688" w:type="pct"/>
          </w:tcPr>
          <w:p w14:paraId="6472071E" w14:textId="77777777" w:rsidR="00ED02AC" w:rsidRPr="001807C6" w:rsidRDefault="00ED02AC" w:rsidP="00ED02AC">
            <w:pPr>
              <w:autoSpaceDE w:val="0"/>
              <w:autoSpaceDN w:val="0"/>
              <w:adjustRightInd w:val="0"/>
              <w:spacing w:line="240" w:lineRule="auto"/>
              <w:rPr>
                <w:rFonts w:eastAsiaTheme="minorHAnsi" w:cstheme="minorHAnsi"/>
                <w:sz w:val="18"/>
                <w:szCs w:val="18"/>
              </w:rPr>
            </w:pPr>
            <w:r w:rsidRPr="001807C6">
              <w:rPr>
                <w:rFonts w:eastAsiaTheme="minorHAnsi" w:cstheme="minorHAnsi"/>
                <w:sz w:val="18"/>
                <w:szCs w:val="18"/>
              </w:rPr>
              <w:t xml:space="preserve">Does the Project have the potential to infringe on minorities’ rights? </w:t>
            </w:r>
          </w:p>
          <w:p w14:paraId="0587EDB5"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4AB6EA22" w14:textId="77777777" w:rsidR="00ED02AC" w:rsidRPr="001807C6" w:rsidRDefault="00ED02AC" w:rsidP="00ED02AC">
            <w:pPr>
              <w:pStyle w:val="Tablebullet"/>
            </w:pPr>
            <w:r w:rsidRPr="001807C6">
              <w:t>Presence of vulnerable people such as migrant workers in the workforce</w:t>
            </w:r>
          </w:p>
          <w:p w14:paraId="6640E8B9" w14:textId="77777777" w:rsidR="00ED02AC" w:rsidRDefault="00ED02AC" w:rsidP="00ED02AC">
            <w:pPr>
              <w:pStyle w:val="Tablebullet"/>
            </w:pPr>
            <w:r w:rsidRPr="001807C6">
              <w:t xml:space="preserve">Lack of structural processes to avoid discrimination and harassment of minorities for the Project </w:t>
            </w:r>
          </w:p>
          <w:p w14:paraId="632D0142" w14:textId="77777777" w:rsidR="00ED02AC" w:rsidRPr="00316ADA" w:rsidRDefault="00ED02AC" w:rsidP="00ED02AC">
            <w:pPr>
              <w:pStyle w:val="Tablebullet"/>
            </w:pPr>
            <w:r w:rsidRPr="00316ADA">
              <w:t xml:space="preserve">Approach to recruitment processes for the operation/ project or by </w:t>
            </w:r>
            <w:r>
              <w:t xml:space="preserve">suppliers and </w:t>
            </w:r>
            <w:r w:rsidRPr="00316ADA">
              <w:t>contractors</w:t>
            </w:r>
          </w:p>
          <w:p w14:paraId="50962B13" w14:textId="77777777" w:rsidR="00ED02AC" w:rsidRPr="00316ADA" w:rsidRDefault="00ED02AC" w:rsidP="00ED02AC">
            <w:pPr>
              <w:pStyle w:val="Tablebullet"/>
            </w:pPr>
            <w:r>
              <w:t>A</w:t>
            </w:r>
            <w:r w:rsidRPr="00316ADA">
              <w:t>pproach to recruitment and hiring that negatively impacts a particular person or a group</w:t>
            </w:r>
          </w:p>
          <w:p w14:paraId="2BFF5989" w14:textId="77777777" w:rsidR="00ED02AC" w:rsidRPr="00316ADA" w:rsidRDefault="00ED02AC" w:rsidP="00ED02AC">
            <w:pPr>
              <w:pStyle w:val="Tablebullet"/>
            </w:pPr>
            <w:r>
              <w:t>A</w:t>
            </w:r>
            <w:r w:rsidRPr="00316ADA">
              <w:t>pproach to retrenchment and dismissal that may disproportionately affect one group</w:t>
            </w:r>
          </w:p>
          <w:p w14:paraId="7E1AAA3E" w14:textId="77777777" w:rsidR="00ED02AC" w:rsidRPr="00316ADA" w:rsidRDefault="00ED02AC" w:rsidP="00ED02AC">
            <w:pPr>
              <w:pStyle w:val="Tablebullet"/>
            </w:pPr>
            <w:r>
              <w:t>P</w:t>
            </w:r>
            <w:r w:rsidRPr="00316ADA">
              <w:t>ayment or promotion approaches that are influenced by criteria that is discriminatory</w:t>
            </w:r>
          </w:p>
          <w:p w14:paraId="600205AE" w14:textId="77777777" w:rsidR="00ED02AC" w:rsidRPr="001807C6" w:rsidRDefault="00ED02AC" w:rsidP="00ED02AC">
            <w:pPr>
              <w:pStyle w:val="Tablebullet"/>
            </w:pPr>
            <w:r w:rsidRPr="00316ADA">
              <w:t>Harassment in areas where there are gender, ethnic or other cultural/social tensions can be exacerbated</w:t>
            </w:r>
          </w:p>
        </w:tc>
        <w:tc>
          <w:tcPr>
            <w:tcW w:w="398" w:type="pct"/>
          </w:tcPr>
          <w:p w14:paraId="48A0D979" w14:textId="77777777" w:rsidR="00ED02AC" w:rsidRPr="0020657E" w:rsidRDefault="00ED02AC" w:rsidP="00ED02AC">
            <w:pPr>
              <w:spacing w:before="40" w:after="40"/>
              <w:ind w:left="191"/>
              <w:jc w:val="center"/>
              <w:rPr>
                <w:rFonts w:cs="Arial"/>
              </w:rPr>
            </w:pPr>
          </w:p>
        </w:tc>
        <w:tc>
          <w:tcPr>
            <w:tcW w:w="1753" w:type="pct"/>
          </w:tcPr>
          <w:p w14:paraId="5DC3DB0F" w14:textId="77777777" w:rsidR="00ED02AC" w:rsidRPr="0020657E" w:rsidRDefault="00ED02AC" w:rsidP="00ED02AC">
            <w:pPr>
              <w:spacing w:before="40" w:after="40"/>
              <w:ind w:left="191"/>
              <w:rPr>
                <w:rFonts w:cs="Arial"/>
              </w:rPr>
            </w:pPr>
          </w:p>
        </w:tc>
      </w:tr>
      <w:tr w:rsidR="00ED02AC" w:rsidRPr="0020657E" w14:paraId="1404C72E" w14:textId="77777777" w:rsidTr="00373C01">
        <w:tc>
          <w:tcPr>
            <w:tcW w:w="207" w:type="pct"/>
          </w:tcPr>
          <w:p w14:paraId="4D9CC411" w14:textId="77777777" w:rsidR="00ED02AC" w:rsidRPr="0020657E" w:rsidRDefault="00ED02AC" w:rsidP="00ED02AC">
            <w:pPr>
              <w:spacing w:before="40" w:after="40"/>
              <w:rPr>
                <w:rFonts w:cs="Arial"/>
              </w:rPr>
            </w:pPr>
            <w:r w:rsidRPr="0020657E">
              <w:rPr>
                <w:rFonts w:cs="Arial"/>
              </w:rPr>
              <w:t>37</w:t>
            </w:r>
          </w:p>
        </w:tc>
        <w:tc>
          <w:tcPr>
            <w:tcW w:w="954" w:type="pct"/>
          </w:tcPr>
          <w:p w14:paraId="121A9B5E" w14:textId="77777777" w:rsidR="00ED02AC" w:rsidRPr="001807C6" w:rsidRDefault="00ED02AC" w:rsidP="00ED02AC">
            <w:pPr>
              <w:spacing w:before="40" w:after="40"/>
              <w:rPr>
                <w:rFonts w:cstheme="minorHAnsi"/>
                <w:b/>
                <w:iCs/>
                <w:sz w:val="18"/>
                <w:szCs w:val="18"/>
              </w:rPr>
            </w:pPr>
            <w:r w:rsidRPr="001807C6">
              <w:rPr>
                <w:rFonts w:cstheme="minorHAnsi"/>
                <w:b/>
                <w:iCs/>
                <w:sz w:val="18"/>
                <w:szCs w:val="18"/>
              </w:rPr>
              <w:t xml:space="preserve">Right to clean water and sanitation </w:t>
            </w:r>
          </w:p>
          <w:p w14:paraId="21C71ACD" w14:textId="77777777" w:rsidR="00ED02AC" w:rsidRPr="001807C6" w:rsidRDefault="00ED02AC" w:rsidP="00ED02AC">
            <w:pPr>
              <w:spacing w:before="40" w:after="40"/>
              <w:rPr>
                <w:rFonts w:cstheme="minorHAnsi"/>
                <w:iCs/>
                <w:sz w:val="18"/>
                <w:szCs w:val="18"/>
              </w:rPr>
            </w:pPr>
            <w:r w:rsidRPr="001807C6">
              <w:rPr>
                <w:rFonts w:cstheme="minorHAnsi"/>
                <w:iCs/>
                <w:sz w:val="18"/>
                <w:szCs w:val="18"/>
              </w:rPr>
              <w:t>UN General Assembly adoption</w:t>
            </w:r>
          </w:p>
        </w:tc>
        <w:tc>
          <w:tcPr>
            <w:tcW w:w="1688" w:type="pct"/>
          </w:tcPr>
          <w:p w14:paraId="6E5BE00B" w14:textId="77777777" w:rsidR="00ED02AC" w:rsidRPr="00F671D7" w:rsidRDefault="00ED02AC" w:rsidP="00ED02AC">
            <w:pPr>
              <w:pStyle w:val="Tabletextleft"/>
              <w:rPr>
                <w:rFonts w:cstheme="minorHAnsi"/>
                <w:szCs w:val="18"/>
              </w:rPr>
            </w:pPr>
            <w:r>
              <w:rPr>
                <w:rFonts w:cstheme="minorHAnsi"/>
                <w:szCs w:val="18"/>
              </w:rPr>
              <w:t xml:space="preserve">Does the Project and related activities infringe on either workers’ or the communities right to clean water and sanitation? </w:t>
            </w:r>
          </w:p>
          <w:p w14:paraId="55AF0154" w14:textId="77777777" w:rsidR="00ED02AC" w:rsidRPr="001807C6" w:rsidRDefault="00ED02AC" w:rsidP="00ED02AC">
            <w:pPr>
              <w:pStyle w:val="Tabletextleft"/>
              <w:rPr>
                <w:rFonts w:cstheme="minorHAnsi"/>
                <w:szCs w:val="18"/>
                <w:u w:val="single"/>
              </w:rPr>
            </w:pPr>
            <w:r w:rsidRPr="001807C6">
              <w:rPr>
                <w:rFonts w:cstheme="minorHAnsi"/>
                <w:szCs w:val="18"/>
                <w:u w:val="single"/>
              </w:rPr>
              <w:t xml:space="preserve">Sources of potential risks could include: </w:t>
            </w:r>
          </w:p>
          <w:p w14:paraId="35D2CCC2" w14:textId="77777777" w:rsidR="00ED02AC" w:rsidRPr="00316ADA" w:rsidRDefault="00ED02AC" w:rsidP="00ED02AC">
            <w:pPr>
              <w:pStyle w:val="Tablebullet"/>
              <w:rPr>
                <w:lang w:val="en-US"/>
              </w:rPr>
            </w:pPr>
            <w:r w:rsidRPr="00316ADA">
              <w:rPr>
                <w:lang w:val="en-US"/>
              </w:rPr>
              <w:t>Potential for the Project to damage or destroy local infrastructure</w:t>
            </w:r>
          </w:p>
          <w:p w14:paraId="7305EEC3" w14:textId="77777777" w:rsidR="00ED02AC" w:rsidRPr="00316ADA" w:rsidRDefault="00ED02AC" w:rsidP="00ED02AC">
            <w:pPr>
              <w:pStyle w:val="Tablebullet"/>
              <w:rPr>
                <w:lang w:val="en-US"/>
              </w:rPr>
            </w:pPr>
            <w:r w:rsidRPr="00316ADA">
              <w:rPr>
                <w:lang w:val="en-US"/>
              </w:rPr>
              <w:t xml:space="preserve">Diminishing or polluting water through Project activities </w:t>
            </w:r>
          </w:p>
          <w:p w14:paraId="45A5A933" w14:textId="77777777" w:rsidR="00ED02AC" w:rsidRDefault="00ED02AC" w:rsidP="00ED02AC">
            <w:pPr>
              <w:pStyle w:val="Tablebullet"/>
              <w:rPr>
                <w:lang w:val="en-US"/>
              </w:rPr>
            </w:pPr>
            <w:r w:rsidRPr="00316ADA">
              <w:rPr>
                <w:lang w:val="en-US"/>
              </w:rPr>
              <w:t>Prevention of access to water to marginalized people</w:t>
            </w:r>
          </w:p>
          <w:p w14:paraId="7F58D4D4" w14:textId="77777777" w:rsidR="00ED02AC" w:rsidRDefault="00ED02AC" w:rsidP="00ED02AC">
            <w:pPr>
              <w:pStyle w:val="Tablebullet"/>
              <w:rPr>
                <w:lang w:val="en-US"/>
              </w:rPr>
            </w:pPr>
            <w:r w:rsidRPr="00316ADA">
              <w:rPr>
                <w:lang w:val="en-US"/>
              </w:rPr>
              <w:t xml:space="preserve">High water consumption due to Project activities being in a water-scarce area and affecting the local communities’ access </w:t>
            </w:r>
          </w:p>
          <w:p w14:paraId="0DE9B7EA" w14:textId="77777777" w:rsidR="00ED02AC" w:rsidRDefault="00ED02AC" w:rsidP="00ED02AC">
            <w:pPr>
              <w:pStyle w:val="Tablebullet"/>
            </w:pPr>
            <w:r w:rsidRPr="00316ADA">
              <w:t xml:space="preserve">Environmental related issues (e.g. spills, soil and water contamination) posing hazards to local communities and threats to the key tenets of adequate standards of living (e.g. access to </w:t>
            </w:r>
            <w:r>
              <w:t>clean water)</w:t>
            </w:r>
          </w:p>
          <w:p w14:paraId="5A4138E3" w14:textId="77777777" w:rsidR="00ED02AC" w:rsidRPr="00316ADA" w:rsidRDefault="00ED02AC" w:rsidP="00ED02AC">
            <w:pPr>
              <w:pStyle w:val="Tablebullet"/>
            </w:pPr>
            <w:r>
              <w:t xml:space="preserve">Pressure on sanitation facilities </w:t>
            </w:r>
          </w:p>
        </w:tc>
        <w:tc>
          <w:tcPr>
            <w:tcW w:w="398" w:type="pct"/>
          </w:tcPr>
          <w:p w14:paraId="1330551A" w14:textId="77777777" w:rsidR="00ED02AC" w:rsidRPr="0020657E" w:rsidRDefault="00ED02AC" w:rsidP="00ED02AC">
            <w:pPr>
              <w:spacing w:before="40" w:after="40"/>
              <w:ind w:left="191"/>
              <w:jc w:val="center"/>
              <w:rPr>
                <w:rFonts w:cs="Arial"/>
              </w:rPr>
            </w:pPr>
          </w:p>
        </w:tc>
        <w:tc>
          <w:tcPr>
            <w:tcW w:w="1753" w:type="pct"/>
          </w:tcPr>
          <w:p w14:paraId="403D8ADB" w14:textId="77777777" w:rsidR="00ED02AC" w:rsidRPr="0020657E" w:rsidRDefault="00ED02AC" w:rsidP="00ED02AC">
            <w:pPr>
              <w:spacing w:before="40" w:after="40"/>
              <w:rPr>
                <w:rFonts w:cs="Arial"/>
              </w:rPr>
            </w:pPr>
          </w:p>
        </w:tc>
      </w:tr>
    </w:tbl>
    <w:p w14:paraId="1659FE77" w14:textId="77777777" w:rsidR="00331781" w:rsidRDefault="00331781" w:rsidP="00331781">
      <w:pPr>
        <w:pStyle w:val="TableTitle"/>
      </w:pPr>
    </w:p>
    <w:p w14:paraId="1583CB0A" w14:textId="77777777" w:rsidR="0033096F" w:rsidRDefault="0033096F"/>
    <w:sectPr w:rsidR="0033096F" w:rsidSect="00331781">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E43"/>
    <w:multiLevelType w:val="hybridMultilevel"/>
    <w:tmpl w:val="F4E45B22"/>
    <w:lvl w:ilvl="0" w:tplc="8C4CA0B0">
      <w:start w:val="1"/>
      <w:numFmt w:val="bullet"/>
      <w:lvlText w:val="■"/>
      <w:lvlJc w:val="left"/>
      <w:pPr>
        <w:ind w:left="360" w:hanging="360"/>
      </w:pPr>
      <w:rPr>
        <w:rFonts w:ascii="Arial" w:hAnsi="Arial" w:hint="default"/>
        <w:color w:val="44546A"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C4602"/>
    <w:multiLevelType w:val="hybridMultilevel"/>
    <w:tmpl w:val="98C40E72"/>
    <w:lvl w:ilvl="0" w:tplc="A1104F54">
      <w:start w:val="1"/>
      <w:numFmt w:val="bullet"/>
      <w:pStyle w:val="Table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0C97313"/>
    <w:multiLevelType w:val="hybridMultilevel"/>
    <w:tmpl w:val="1C044E8A"/>
    <w:lvl w:ilvl="0" w:tplc="B20020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A338B"/>
    <w:multiLevelType w:val="hybridMultilevel"/>
    <w:tmpl w:val="FBF0AC2A"/>
    <w:lvl w:ilvl="0" w:tplc="B12678F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E424C"/>
    <w:multiLevelType w:val="hybridMultilevel"/>
    <w:tmpl w:val="9DB81ECA"/>
    <w:lvl w:ilvl="0" w:tplc="AA028DF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81"/>
    <w:rsid w:val="00026F19"/>
    <w:rsid w:val="00083338"/>
    <w:rsid w:val="000841DE"/>
    <w:rsid w:val="000842CC"/>
    <w:rsid w:val="00095062"/>
    <w:rsid w:val="000D5AEA"/>
    <w:rsid w:val="001159B7"/>
    <w:rsid w:val="0014787E"/>
    <w:rsid w:val="001807C6"/>
    <w:rsid w:val="00282471"/>
    <w:rsid w:val="002B5F6B"/>
    <w:rsid w:val="00316ADA"/>
    <w:rsid w:val="00325143"/>
    <w:rsid w:val="0033096F"/>
    <w:rsid w:val="00331781"/>
    <w:rsid w:val="003517DC"/>
    <w:rsid w:val="00365618"/>
    <w:rsid w:val="00366F65"/>
    <w:rsid w:val="00373C01"/>
    <w:rsid w:val="003773E0"/>
    <w:rsid w:val="00431192"/>
    <w:rsid w:val="004553F7"/>
    <w:rsid w:val="00462C06"/>
    <w:rsid w:val="00560ED7"/>
    <w:rsid w:val="00574681"/>
    <w:rsid w:val="005A4759"/>
    <w:rsid w:val="005C3869"/>
    <w:rsid w:val="005C5B73"/>
    <w:rsid w:val="00627AAE"/>
    <w:rsid w:val="0067160C"/>
    <w:rsid w:val="006A419B"/>
    <w:rsid w:val="00717383"/>
    <w:rsid w:val="00752DF4"/>
    <w:rsid w:val="007E7A4B"/>
    <w:rsid w:val="00820C11"/>
    <w:rsid w:val="00832BF0"/>
    <w:rsid w:val="008334F7"/>
    <w:rsid w:val="00855FBD"/>
    <w:rsid w:val="00874826"/>
    <w:rsid w:val="00877A9B"/>
    <w:rsid w:val="008862BF"/>
    <w:rsid w:val="008863B9"/>
    <w:rsid w:val="008B7076"/>
    <w:rsid w:val="009216FA"/>
    <w:rsid w:val="009320D6"/>
    <w:rsid w:val="00932DFA"/>
    <w:rsid w:val="00941155"/>
    <w:rsid w:val="00980EDA"/>
    <w:rsid w:val="0098628B"/>
    <w:rsid w:val="009A1836"/>
    <w:rsid w:val="00A06885"/>
    <w:rsid w:val="00A147B7"/>
    <w:rsid w:val="00A34424"/>
    <w:rsid w:val="00A42796"/>
    <w:rsid w:val="00A44DFB"/>
    <w:rsid w:val="00A82DE4"/>
    <w:rsid w:val="00A9514F"/>
    <w:rsid w:val="00AA7A26"/>
    <w:rsid w:val="00AE4018"/>
    <w:rsid w:val="00B41BED"/>
    <w:rsid w:val="00B5474E"/>
    <w:rsid w:val="00B75E5A"/>
    <w:rsid w:val="00BA35B7"/>
    <w:rsid w:val="00C0500B"/>
    <w:rsid w:val="00C154A6"/>
    <w:rsid w:val="00D21986"/>
    <w:rsid w:val="00D4636F"/>
    <w:rsid w:val="00D47756"/>
    <w:rsid w:val="00D758FA"/>
    <w:rsid w:val="00DE6DE0"/>
    <w:rsid w:val="00E86517"/>
    <w:rsid w:val="00ED02AC"/>
    <w:rsid w:val="00EF015C"/>
    <w:rsid w:val="00F45E15"/>
    <w:rsid w:val="00F53000"/>
    <w:rsid w:val="00F671D7"/>
    <w:rsid w:val="00F7195D"/>
    <w:rsid w:val="00FB1326"/>
    <w:rsid w:val="00FE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CEEC"/>
  <w15:chartTrackingRefBased/>
  <w15:docId w15:val="{58507B05-F297-4239-AA56-0C81730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E7A4B"/>
    <w:pPr>
      <w:spacing w:after="0" w:line="260" w:lineRule="atLeast"/>
    </w:pPr>
    <w:rPr>
      <w:rFonts w:ascii="Arial" w:eastAsiaTheme="minorEastAsia"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31781"/>
    <w:rPr>
      <w:sz w:val="16"/>
      <w:szCs w:val="16"/>
    </w:rPr>
  </w:style>
  <w:style w:type="paragraph" w:styleId="CommentText">
    <w:name w:val="annotation text"/>
    <w:basedOn w:val="Normal"/>
    <w:link w:val="CommentTextChar"/>
    <w:semiHidden/>
    <w:rsid w:val="00331781"/>
  </w:style>
  <w:style w:type="character" w:customStyle="1" w:styleId="CommentTextChar">
    <w:name w:val="Comment Text Char"/>
    <w:basedOn w:val="DefaultParagraphFont"/>
    <w:link w:val="CommentText"/>
    <w:semiHidden/>
    <w:rsid w:val="00331781"/>
    <w:rPr>
      <w:rFonts w:eastAsiaTheme="minorEastAsia"/>
      <w:sz w:val="20"/>
      <w:szCs w:val="20"/>
      <w:lang w:val="en-GB"/>
    </w:rPr>
  </w:style>
  <w:style w:type="paragraph" w:customStyle="1" w:styleId="Tablebullet">
    <w:name w:val="Table bullet"/>
    <w:basedOn w:val="ListBullet"/>
    <w:rsid w:val="00C154A6"/>
    <w:pPr>
      <w:numPr>
        <w:numId w:val="5"/>
      </w:numPr>
      <w:spacing w:before="40" w:line="240" w:lineRule="auto"/>
      <w:ind w:left="221" w:hanging="221"/>
      <w:contextualSpacing w:val="0"/>
    </w:pPr>
    <w:rPr>
      <w:sz w:val="18"/>
      <w:lang w:eastAsia="zh-CN"/>
    </w:rPr>
  </w:style>
  <w:style w:type="paragraph" w:customStyle="1" w:styleId="Tableheadingleft">
    <w:name w:val="Table heading left"/>
    <w:basedOn w:val="Normal"/>
    <w:qFormat/>
    <w:rsid w:val="00331781"/>
    <w:pPr>
      <w:overflowPunct w:val="0"/>
      <w:autoSpaceDE w:val="0"/>
      <w:autoSpaceDN w:val="0"/>
      <w:adjustRightInd w:val="0"/>
      <w:spacing w:before="40" w:line="240" w:lineRule="auto"/>
      <w:textAlignment w:val="baseline"/>
    </w:pPr>
    <w:rPr>
      <w:rFonts w:cs="Arial"/>
      <w:b/>
      <w:sz w:val="18"/>
    </w:rPr>
  </w:style>
  <w:style w:type="paragraph" w:customStyle="1" w:styleId="Tabletextleft">
    <w:name w:val="Table text left"/>
    <w:basedOn w:val="Normal"/>
    <w:qFormat/>
    <w:rsid w:val="00331781"/>
    <w:pPr>
      <w:spacing w:before="40" w:line="240" w:lineRule="auto"/>
    </w:pPr>
    <w:rPr>
      <w:rFonts w:cs="Arial"/>
      <w:sz w:val="18"/>
    </w:rPr>
  </w:style>
  <w:style w:type="table" w:customStyle="1" w:styleId="ERMTablestyle">
    <w:name w:val="ERM Table style"/>
    <w:basedOn w:val="TableNormal"/>
    <w:uiPriority w:val="99"/>
    <w:rsid w:val="00331781"/>
    <w:pPr>
      <w:spacing w:after="0" w:line="240" w:lineRule="auto"/>
    </w:pPr>
    <w:rPr>
      <w:rFonts w:eastAsiaTheme="minorEastAsia"/>
      <w:sz w:val="18"/>
      <w:szCs w:val="18"/>
      <w:lang w:val="en-GB" w:eastAsia="zh-CN"/>
    </w:rPr>
    <w:tblPr>
      <w:tblBorders>
        <w:top w:val="single" w:sz="2" w:space="0" w:color="E7E6E6" w:themeColor="background2"/>
        <w:bottom w:val="single" w:sz="2" w:space="0" w:color="E7E6E6" w:themeColor="background2"/>
        <w:insideH w:val="single" w:sz="2" w:space="0" w:color="E7E6E6" w:themeColor="background2"/>
        <w:insideV w:val="single" w:sz="2" w:space="0" w:color="E7E6E6" w:themeColor="background2"/>
      </w:tblBorders>
      <w:tblCellMar>
        <w:top w:w="28" w:type="dxa"/>
        <w:left w:w="113" w:type="dxa"/>
        <w:bottom w:w="57" w:type="dxa"/>
        <w:right w:w="113" w:type="dxa"/>
      </w:tblCellMar>
    </w:tblPr>
    <w:tblStylePr w:type="firstRow">
      <w:rPr>
        <w:b w:val="0"/>
        <w:color w:val="44546A" w:themeColor="text2"/>
      </w:rPr>
      <w:tblPr/>
      <w:tcPr>
        <w:tcBorders>
          <w:top w:val="single" w:sz="8" w:space="0" w:color="44546A" w:themeColor="text2"/>
          <w:bottom w:val="single" w:sz="8" w:space="0" w:color="44546A" w:themeColor="text2"/>
        </w:tcBorders>
      </w:tcPr>
    </w:tblStylePr>
  </w:style>
  <w:style w:type="paragraph" w:customStyle="1" w:styleId="TableTitle">
    <w:name w:val="Table Title"/>
    <w:basedOn w:val="Caption"/>
    <w:uiPriority w:val="99"/>
    <w:rsid w:val="00331781"/>
    <w:pPr>
      <w:keepNext/>
      <w:spacing w:before="240" w:after="120" w:line="260" w:lineRule="atLeast"/>
      <w:contextualSpacing/>
    </w:pPr>
    <w:rPr>
      <w:rFonts w:cs="Arial"/>
      <w:b/>
      <w:i w:val="0"/>
      <w:iCs w:val="0"/>
      <w:color w:val="auto"/>
      <w:sz w:val="22"/>
      <w:szCs w:val="20"/>
    </w:rPr>
  </w:style>
  <w:style w:type="character" w:customStyle="1" w:styleId="A2">
    <w:name w:val="A2"/>
    <w:uiPriority w:val="99"/>
    <w:rsid w:val="00331781"/>
    <w:rPr>
      <w:rFonts w:cs="Verdana"/>
      <w:color w:val="000000"/>
      <w:sz w:val="18"/>
      <w:szCs w:val="18"/>
    </w:rPr>
  </w:style>
  <w:style w:type="paragraph" w:styleId="ListBullet">
    <w:name w:val="List Bullet"/>
    <w:basedOn w:val="Normal"/>
    <w:uiPriority w:val="99"/>
    <w:semiHidden/>
    <w:unhideWhenUsed/>
    <w:rsid w:val="00331781"/>
    <w:pPr>
      <w:ind w:left="360" w:hanging="360"/>
      <w:contextualSpacing/>
    </w:pPr>
  </w:style>
  <w:style w:type="paragraph" w:styleId="Caption">
    <w:name w:val="caption"/>
    <w:basedOn w:val="Normal"/>
    <w:next w:val="Normal"/>
    <w:uiPriority w:val="35"/>
    <w:semiHidden/>
    <w:unhideWhenUsed/>
    <w:qFormat/>
    <w:rsid w:val="0033178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31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81"/>
    <w:rPr>
      <w:rFonts w:ascii="Segoe UI" w:eastAsiaTheme="minorEastAsia"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758FA"/>
    <w:pPr>
      <w:spacing w:line="240" w:lineRule="auto"/>
    </w:pPr>
    <w:rPr>
      <w:b/>
      <w:bCs/>
    </w:rPr>
  </w:style>
  <w:style w:type="character" w:customStyle="1" w:styleId="CommentSubjectChar">
    <w:name w:val="Comment Subject Char"/>
    <w:basedOn w:val="CommentTextChar"/>
    <w:link w:val="CommentSubject"/>
    <w:uiPriority w:val="99"/>
    <w:semiHidden/>
    <w:rsid w:val="00D758FA"/>
    <w:rPr>
      <w:rFonts w:eastAsiaTheme="minorEastAsia"/>
      <w:b/>
      <w:bCs/>
      <w:sz w:val="20"/>
      <w:szCs w:val="20"/>
      <w:lang w:val="en-GB"/>
    </w:rPr>
  </w:style>
  <w:style w:type="paragraph" w:styleId="ListParagraph">
    <w:name w:val="List Paragraph"/>
    <w:basedOn w:val="Normal"/>
    <w:uiPriority w:val="34"/>
    <w:qFormat/>
    <w:rsid w:val="0008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1978266-6447-4A6C-8A41-ABA070A3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Sundby</dc:creator>
  <cp:keywords/>
  <dc:description/>
  <cp:lastModifiedBy>Anna Sundby</cp:lastModifiedBy>
  <cp:revision>9</cp:revision>
  <dcterms:created xsi:type="dcterms:W3CDTF">2021-06-07T17:08:00Z</dcterms:created>
  <dcterms:modified xsi:type="dcterms:W3CDTF">2021-06-07T17:56:00Z</dcterms:modified>
</cp:coreProperties>
</file>